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0918" w:rsidRPr="00FF0918" w:rsidRDefault="00FF0918" w:rsidP="00FF0918">
      <w:pPr>
        <w:jc w:val="both"/>
        <w:rPr>
          <w:rFonts w:ascii="Times New Roman" w:hAnsi="Times New Roman" w:cs="Times New Roman"/>
          <w:b/>
          <w:sz w:val="44"/>
          <w:szCs w:val="44"/>
        </w:rPr>
      </w:pPr>
      <w:bookmarkStart w:id="0" w:name="_GoBack"/>
      <w:r w:rsidRPr="00FF0918">
        <w:rPr>
          <w:rFonts w:ascii="Times New Roman" w:hAnsi="Times New Roman" w:cs="Times New Roman"/>
          <w:b/>
          <w:sz w:val="44"/>
          <w:szCs w:val="44"/>
        </w:rPr>
        <w:t>Polar Polarization Mode and Average Radical Flux Intensity Measurements Based on All Optical Spatial Communication Systems</w:t>
      </w:r>
    </w:p>
    <w:bookmarkEnd w:id="0"/>
    <w:p w:rsidR="00FF0918" w:rsidRPr="00FF0918" w:rsidRDefault="00FF0918" w:rsidP="00FF0918">
      <w:pPr>
        <w:jc w:val="both"/>
        <w:rPr>
          <w:rFonts w:ascii="Times New Roman" w:hAnsi="Times New Roman" w:cs="Times New Roman"/>
          <w:color w:val="2E74B5" w:themeColor="accent1" w:themeShade="BF"/>
          <w:sz w:val="24"/>
          <w:szCs w:val="24"/>
        </w:rPr>
      </w:pPr>
      <w:r w:rsidRPr="00FF0918">
        <w:rPr>
          <w:rFonts w:ascii="Times New Roman" w:hAnsi="Times New Roman" w:cs="Times New Roman"/>
          <w:color w:val="2E74B5" w:themeColor="accent1" w:themeShade="BF"/>
          <w:sz w:val="24"/>
          <w:szCs w:val="24"/>
        </w:rPr>
        <w:t xml:space="preserve">S. </w:t>
      </w:r>
      <w:proofErr w:type="spellStart"/>
      <w:r w:rsidRPr="00FF0918">
        <w:rPr>
          <w:rFonts w:ascii="Times New Roman" w:hAnsi="Times New Roman" w:cs="Times New Roman"/>
          <w:color w:val="2E74B5" w:themeColor="accent1" w:themeShade="BF"/>
          <w:sz w:val="24"/>
          <w:szCs w:val="24"/>
        </w:rPr>
        <w:t>Amiri</w:t>
      </w:r>
      <w:proofErr w:type="spellEnd"/>
      <w:r w:rsidRPr="00FF0918">
        <w:rPr>
          <w:rFonts w:ascii="Times New Roman" w:hAnsi="Times New Roman" w:cs="Times New Roman"/>
          <w:color w:val="2E74B5" w:themeColor="accent1" w:themeShade="BF"/>
          <w:sz w:val="24"/>
          <w:szCs w:val="24"/>
        </w:rPr>
        <w:t xml:space="preserve">, Ahmed </w:t>
      </w:r>
      <w:proofErr w:type="spellStart"/>
      <w:r w:rsidRPr="00FF0918">
        <w:rPr>
          <w:rFonts w:ascii="Times New Roman" w:hAnsi="Times New Roman" w:cs="Times New Roman"/>
          <w:color w:val="2E74B5" w:themeColor="accent1" w:themeShade="BF"/>
          <w:sz w:val="24"/>
          <w:szCs w:val="24"/>
        </w:rPr>
        <w:t>Nabih</w:t>
      </w:r>
      <w:proofErr w:type="spellEnd"/>
      <w:r w:rsidRPr="00FF0918">
        <w:rPr>
          <w:rFonts w:ascii="Times New Roman" w:hAnsi="Times New Roman" w:cs="Times New Roman"/>
          <w:color w:val="2E74B5" w:themeColor="accent1" w:themeShade="BF"/>
          <w:sz w:val="24"/>
          <w:szCs w:val="24"/>
        </w:rPr>
        <w:t xml:space="preserve"> </w:t>
      </w:r>
      <w:proofErr w:type="spellStart"/>
      <w:r w:rsidRPr="00FF0918">
        <w:rPr>
          <w:rFonts w:ascii="Times New Roman" w:hAnsi="Times New Roman" w:cs="Times New Roman"/>
          <w:color w:val="2E74B5" w:themeColor="accent1" w:themeShade="BF"/>
          <w:sz w:val="24"/>
          <w:szCs w:val="24"/>
        </w:rPr>
        <w:t>Zaki</w:t>
      </w:r>
      <w:proofErr w:type="spellEnd"/>
      <w:r w:rsidRPr="00FF0918">
        <w:rPr>
          <w:rFonts w:ascii="Times New Roman" w:hAnsi="Times New Roman" w:cs="Times New Roman"/>
          <w:color w:val="2E74B5" w:themeColor="accent1" w:themeShade="BF"/>
          <w:sz w:val="24"/>
          <w:szCs w:val="24"/>
        </w:rPr>
        <w:t xml:space="preserve"> </w:t>
      </w:r>
      <w:proofErr w:type="spellStart"/>
      <w:r w:rsidRPr="00FF0918">
        <w:rPr>
          <w:rFonts w:ascii="Times New Roman" w:hAnsi="Times New Roman" w:cs="Times New Roman"/>
          <w:color w:val="2E74B5" w:themeColor="accent1" w:themeShade="BF"/>
          <w:sz w:val="24"/>
          <w:szCs w:val="24"/>
        </w:rPr>
        <w:t>Rashed</w:t>
      </w:r>
      <w:proofErr w:type="spellEnd"/>
      <w:r w:rsidRPr="00FF0918">
        <w:rPr>
          <w:rFonts w:ascii="Times New Roman" w:hAnsi="Times New Roman" w:cs="Times New Roman"/>
          <w:color w:val="2E74B5" w:themeColor="accent1" w:themeShade="BF"/>
          <w:sz w:val="24"/>
          <w:szCs w:val="24"/>
        </w:rPr>
        <w:t>, </w:t>
      </w:r>
      <w:proofErr w:type="spellStart"/>
      <w:r w:rsidRPr="00FF0918">
        <w:rPr>
          <w:rFonts w:ascii="Times New Roman" w:hAnsi="Times New Roman" w:cs="Times New Roman"/>
          <w:color w:val="2E74B5" w:themeColor="accent1" w:themeShade="BF"/>
          <w:sz w:val="24"/>
          <w:szCs w:val="24"/>
        </w:rPr>
        <w:t>Sohely</w:t>
      </w:r>
      <w:proofErr w:type="spellEnd"/>
      <w:r w:rsidRPr="00FF0918">
        <w:rPr>
          <w:rFonts w:ascii="Times New Roman" w:hAnsi="Times New Roman" w:cs="Times New Roman"/>
          <w:color w:val="2E74B5" w:themeColor="accent1" w:themeShade="BF"/>
          <w:sz w:val="24"/>
          <w:szCs w:val="24"/>
        </w:rPr>
        <w:t xml:space="preserve"> </w:t>
      </w:r>
      <w:proofErr w:type="spellStart"/>
      <w:r w:rsidRPr="00FF0918">
        <w:rPr>
          <w:rFonts w:ascii="Times New Roman" w:hAnsi="Times New Roman" w:cs="Times New Roman"/>
          <w:color w:val="2E74B5" w:themeColor="accent1" w:themeShade="BF"/>
          <w:sz w:val="24"/>
          <w:szCs w:val="24"/>
        </w:rPr>
        <w:t>Jahan</w:t>
      </w:r>
      <w:proofErr w:type="spellEnd"/>
      <w:r w:rsidRPr="00FF0918">
        <w:rPr>
          <w:rFonts w:ascii="Times New Roman" w:hAnsi="Times New Roman" w:cs="Times New Roman"/>
          <w:color w:val="2E74B5" w:themeColor="accent1" w:themeShade="BF"/>
          <w:sz w:val="24"/>
          <w:szCs w:val="24"/>
        </w:rPr>
        <w:t>, </w:t>
      </w:r>
      <w:proofErr w:type="spellStart"/>
      <w:r w:rsidRPr="00FF0918">
        <w:rPr>
          <w:rFonts w:ascii="Times New Roman" w:hAnsi="Times New Roman" w:cs="Times New Roman"/>
          <w:color w:val="2E74B5" w:themeColor="accent1" w:themeShade="BF"/>
          <w:sz w:val="24"/>
          <w:szCs w:val="24"/>
        </w:rPr>
        <w:t>Bikash</w:t>
      </w:r>
      <w:proofErr w:type="spellEnd"/>
      <w:r w:rsidRPr="00FF0918">
        <w:rPr>
          <w:rFonts w:ascii="Times New Roman" w:hAnsi="Times New Roman" w:cs="Times New Roman"/>
          <w:color w:val="2E74B5" w:themeColor="accent1" w:themeShade="BF"/>
          <w:sz w:val="24"/>
          <w:szCs w:val="24"/>
        </w:rPr>
        <w:t xml:space="preserve"> Kumar Paul, </w:t>
      </w:r>
      <w:proofErr w:type="spellStart"/>
      <w:r w:rsidRPr="00FF0918">
        <w:rPr>
          <w:rFonts w:ascii="Times New Roman" w:hAnsi="Times New Roman" w:cs="Times New Roman"/>
          <w:color w:val="2E74B5" w:themeColor="accent1" w:themeShade="BF"/>
          <w:sz w:val="24"/>
          <w:szCs w:val="24"/>
        </w:rPr>
        <w:t>Kawsar</w:t>
      </w:r>
      <w:proofErr w:type="spellEnd"/>
      <w:r w:rsidRPr="00FF0918">
        <w:rPr>
          <w:rFonts w:ascii="Times New Roman" w:hAnsi="Times New Roman" w:cs="Times New Roman"/>
          <w:color w:val="2E74B5" w:themeColor="accent1" w:themeShade="BF"/>
          <w:sz w:val="24"/>
          <w:szCs w:val="24"/>
        </w:rPr>
        <w:t xml:space="preserve"> Ahmed</w:t>
      </w:r>
    </w:p>
    <w:p w:rsidR="00FF0918" w:rsidRPr="00FF0918" w:rsidRDefault="00FF0918" w:rsidP="00FF0918">
      <w:pPr>
        <w:spacing w:after="0" w:line="276" w:lineRule="auto"/>
        <w:jc w:val="both"/>
        <w:rPr>
          <w:rFonts w:ascii="Times New Roman" w:hAnsi="Times New Roman" w:cs="Times New Roman"/>
          <w:b/>
          <w:sz w:val="24"/>
          <w:szCs w:val="24"/>
        </w:rPr>
      </w:pPr>
      <w:r w:rsidRPr="00FF0918">
        <w:rPr>
          <w:rFonts w:ascii="Times New Roman" w:hAnsi="Times New Roman" w:cs="Times New Roman"/>
          <w:b/>
          <w:sz w:val="24"/>
          <w:szCs w:val="24"/>
        </w:rPr>
        <w:t>Abstract:</w:t>
      </w:r>
    </w:p>
    <w:p w:rsidR="00FF0918" w:rsidRPr="00FF0918" w:rsidRDefault="00FF0918" w:rsidP="00FF0918">
      <w:pPr>
        <w:jc w:val="both"/>
        <w:rPr>
          <w:rFonts w:ascii="Times New Roman" w:hAnsi="Times New Roman" w:cs="Times New Roman"/>
          <w:sz w:val="24"/>
          <w:szCs w:val="24"/>
        </w:rPr>
      </w:pPr>
      <w:r w:rsidRPr="00FF0918">
        <w:rPr>
          <w:rFonts w:ascii="Times New Roman" w:hAnsi="Times New Roman" w:cs="Times New Roman"/>
          <w:sz w:val="24"/>
          <w:szCs w:val="24"/>
        </w:rPr>
        <w:t>This study presents the polar polarization mode and average radical intensity flux distribution measurements based on all optical spatial communication systems. The numerical technique that is applied with the simulation model is the diffraction fast Fourier integral transform. Spatial optical sources are used such as continuous wave (CW) laser and vertical cavity surface-emitting laser (VCSEL) with spatial connector and spatial aperture. Spatial temporal polarization effects are taken into account. Percentage encircled flux/average flux radical intensity and polar radical polarization are measured with spatial connector distance and spatial aperture width. The encircled flux is constant at 95 % of its value in the case of VCSEL laser source at a radical distance of exactly 10 </w:t>
      </w:r>
      <w:proofErr w:type="spellStart"/>
      <w:r w:rsidRPr="00FF0918">
        <w:rPr>
          <w:rFonts w:ascii="Times New Roman" w:hAnsi="Times New Roman" w:cs="Times New Roman"/>
          <w:sz w:val="24"/>
          <w:szCs w:val="24"/>
        </w:rPr>
        <w:t>μm</w:t>
      </w:r>
      <w:proofErr w:type="spellEnd"/>
      <w:r w:rsidRPr="00FF0918">
        <w:rPr>
          <w:rFonts w:ascii="Times New Roman" w:hAnsi="Times New Roman" w:cs="Times New Roman"/>
          <w:sz w:val="24"/>
          <w:szCs w:val="24"/>
        </w:rPr>
        <w:t>. However, the encircled flux is constant at 92 %of its value in the case of CW laser source at a radical distance of exactly 6 </w:t>
      </w:r>
      <w:proofErr w:type="spellStart"/>
      <w:r w:rsidRPr="00FF0918">
        <w:rPr>
          <w:rFonts w:ascii="Times New Roman" w:hAnsi="Times New Roman" w:cs="Times New Roman"/>
          <w:sz w:val="24"/>
          <w:szCs w:val="24"/>
        </w:rPr>
        <w:t>μm</w:t>
      </w:r>
      <w:proofErr w:type="spellEnd"/>
      <w:r w:rsidRPr="00FF0918">
        <w:rPr>
          <w:rFonts w:ascii="Times New Roman" w:hAnsi="Times New Roman" w:cs="Times New Roman"/>
          <w:sz w:val="24"/>
          <w:szCs w:val="24"/>
        </w:rPr>
        <w:t>. It is noticed that the encircled flux increases with increasing radial distance of spatial apertures that are used with two suggested light sources. The encircled flux is constant at 93 % of its value in the case of VCSEL laser source at a radical distance of exactly 10 </w:t>
      </w:r>
      <w:proofErr w:type="spellStart"/>
      <w:r w:rsidRPr="00FF0918">
        <w:rPr>
          <w:rFonts w:ascii="Times New Roman" w:hAnsi="Times New Roman" w:cs="Times New Roman"/>
          <w:sz w:val="24"/>
          <w:szCs w:val="24"/>
        </w:rPr>
        <w:t>μm</w:t>
      </w:r>
      <w:proofErr w:type="spellEnd"/>
      <w:r w:rsidRPr="00FF0918">
        <w:rPr>
          <w:rFonts w:ascii="Times New Roman" w:hAnsi="Times New Roman" w:cs="Times New Roman"/>
          <w:sz w:val="24"/>
          <w:szCs w:val="24"/>
        </w:rPr>
        <w:t>.</w:t>
      </w:r>
    </w:p>
    <w:p w:rsidR="00FF0918" w:rsidRDefault="00FF0918" w:rsidP="00FF0918">
      <w:pPr>
        <w:spacing w:after="0" w:line="276" w:lineRule="auto"/>
        <w:rPr>
          <w:rFonts w:ascii="Times New Roman" w:hAnsi="Times New Roman" w:cs="Times New Roman"/>
          <w:b/>
          <w:sz w:val="24"/>
          <w:szCs w:val="24"/>
        </w:rPr>
      </w:pPr>
      <w:r w:rsidRPr="00FF0918">
        <w:rPr>
          <w:rFonts w:ascii="Times New Roman" w:hAnsi="Times New Roman" w:cs="Times New Roman"/>
          <w:b/>
          <w:sz w:val="24"/>
          <w:szCs w:val="24"/>
        </w:rPr>
        <w:t>Conference / Journal Link:</w:t>
      </w:r>
    </w:p>
    <w:p w:rsidR="00FF0918" w:rsidRPr="00FF0918" w:rsidRDefault="00FF0918" w:rsidP="00FF0918">
      <w:pPr>
        <w:rPr>
          <w:rFonts w:ascii="Times New Roman" w:hAnsi="Times New Roman" w:cs="Times New Roman"/>
          <w:sz w:val="24"/>
          <w:szCs w:val="24"/>
        </w:rPr>
      </w:pPr>
      <w:hyperlink r:id="rId5" w:history="1">
        <w:r w:rsidRPr="00FF0918">
          <w:rPr>
            <w:rStyle w:val="Hyperlink"/>
            <w:rFonts w:ascii="Times New Roman" w:hAnsi="Times New Roman" w:cs="Times New Roman"/>
            <w:sz w:val="24"/>
            <w:szCs w:val="24"/>
          </w:rPr>
          <w:t>https://www.degruyter.com/view/journals/joc/ahead-of-print/article-10.1515-joc-2019-0159/article-10.1515-joc-2019-0159.xml</w:t>
        </w:r>
      </w:hyperlink>
    </w:p>
    <w:p w:rsidR="00FF0918" w:rsidRDefault="00FF0918" w:rsidP="00FF0918">
      <w:pPr>
        <w:spacing w:after="0" w:line="276" w:lineRule="auto"/>
        <w:rPr>
          <w:rFonts w:ascii="Times New Roman" w:hAnsi="Times New Roman" w:cs="Times New Roman"/>
          <w:sz w:val="24"/>
          <w:szCs w:val="24"/>
        </w:rPr>
      </w:pPr>
      <w:r w:rsidRPr="00FF0918">
        <w:rPr>
          <w:rFonts w:ascii="Times New Roman" w:hAnsi="Times New Roman" w:cs="Times New Roman"/>
          <w:b/>
          <w:sz w:val="24"/>
          <w:szCs w:val="24"/>
        </w:rPr>
        <w:t>DOI:</w:t>
      </w:r>
    </w:p>
    <w:p w:rsidR="00FF0918" w:rsidRPr="00FF0918" w:rsidRDefault="00FF0918" w:rsidP="00FF0918">
      <w:pPr>
        <w:rPr>
          <w:rFonts w:ascii="Times New Roman" w:hAnsi="Times New Roman" w:cs="Times New Roman"/>
          <w:sz w:val="24"/>
          <w:szCs w:val="24"/>
        </w:rPr>
      </w:pPr>
      <w:hyperlink r:id="rId6" w:tgtFrame="_blank" w:history="1">
        <w:r w:rsidRPr="00FF0918">
          <w:rPr>
            <w:rStyle w:val="Hyperlink"/>
            <w:rFonts w:ascii="Times New Roman" w:hAnsi="Times New Roman" w:cs="Times New Roman"/>
            <w:sz w:val="24"/>
            <w:szCs w:val="24"/>
          </w:rPr>
          <w:t>https://doi.org/10.1515/joc-2019-0159</w:t>
        </w:r>
      </w:hyperlink>
    </w:p>
    <w:sectPr w:rsidR="00FF0918" w:rsidRPr="00FF09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A17BEF"/>
    <w:multiLevelType w:val="hybridMultilevel"/>
    <w:tmpl w:val="800EF856"/>
    <w:lvl w:ilvl="0" w:tplc="938E17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918"/>
    <w:rsid w:val="005817F1"/>
    <w:rsid w:val="00FF0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1C0DF0-1437-4675-ACCD-290BF767B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F091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918"/>
    <w:rPr>
      <w:rFonts w:ascii="Times New Roman" w:eastAsia="Times New Roman" w:hAnsi="Times New Roman" w:cs="Times New Roman"/>
      <w:b/>
      <w:bCs/>
      <w:kern w:val="36"/>
      <w:sz w:val="48"/>
      <w:szCs w:val="48"/>
    </w:rPr>
  </w:style>
  <w:style w:type="character" w:customStyle="1" w:styleId="contributor">
    <w:name w:val="contributor"/>
    <w:basedOn w:val="DefaultParagraphFont"/>
    <w:rsid w:val="00FF0918"/>
  </w:style>
  <w:style w:type="character" w:customStyle="1" w:styleId="orcidlink">
    <w:name w:val="orcidlink"/>
    <w:basedOn w:val="DefaultParagraphFont"/>
    <w:rsid w:val="00FF0918"/>
  </w:style>
  <w:style w:type="paragraph" w:styleId="ListParagraph">
    <w:name w:val="List Paragraph"/>
    <w:basedOn w:val="Normal"/>
    <w:uiPriority w:val="34"/>
    <w:qFormat/>
    <w:rsid w:val="00FF0918"/>
    <w:pPr>
      <w:ind w:left="720"/>
      <w:contextualSpacing/>
    </w:pPr>
  </w:style>
  <w:style w:type="paragraph" w:styleId="NormalWeb">
    <w:name w:val="Normal (Web)"/>
    <w:basedOn w:val="Normal"/>
    <w:uiPriority w:val="99"/>
    <w:semiHidden/>
    <w:unhideWhenUsed/>
    <w:rsid w:val="00FF091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F09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9069925">
      <w:bodyDiv w:val="1"/>
      <w:marLeft w:val="0"/>
      <w:marRight w:val="0"/>
      <w:marTop w:val="0"/>
      <w:marBottom w:val="0"/>
      <w:divBdr>
        <w:top w:val="none" w:sz="0" w:space="0" w:color="auto"/>
        <w:left w:val="none" w:sz="0" w:space="0" w:color="auto"/>
        <w:bottom w:val="none" w:sz="0" w:space="0" w:color="auto"/>
        <w:right w:val="none" w:sz="0" w:space="0" w:color="auto"/>
      </w:divBdr>
    </w:div>
    <w:div w:id="17210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515/joc-2019-0159" TargetMode="External"/><Relationship Id="rId5" Type="http://schemas.openxmlformats.org/officeDocument/2006/relationships/hyperlink" Target="https://www.degruyter.com/view/journals/joc/ahead-of-print/article-10.1515-joc-2019-0159/article-10.1515-joc-2019-0159.x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2021-09-26T07:13:00Z</dcterms:created>
  <dcterms:modified xsi:type="dcterms:W3CDTF">2021-09-26T07:17:00Z</dcterms:modified>
</cp:coreProperties>
</file>