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67A" w:rsidRPr="001952A1" w:rsidRDefault="001952A1">
      <w:pPr>
        <w:rPr>
          <w:rFonts w:ascii="Times New Roman" w:hAnsi="Times New Roman" w:cs="Times New Roman"/>
          <w:sz w:val="44"/>
          <w:szCs w:val="44"/>
        </w:rPr>
      </w:pPr>
      <w:r w:rsidRPr="001952A1">
        <w:rPr>
          <w:rFonts w:ascii="Times New Roman" w:hAnsi="Times New Roman" w:cs="Times New Roman"/>
          <w:sz w:val="44"/>
          <w:szCs w:val="44"/>
        </w:rPr>
        <w:t>Development of an Advanced D</w:t>
      </w:r>
      <w:r w:rsidR="000453C2">
        <w:rPr>
          <w:rFonts w:ascii="Times New Roman" w:hAnsi="Times New Roman" w:cs="Times New Roman"/>
          <w:sz w:val="44"/>
          <w:szCs w:val="44"/>
        </w:rPr>
        <w:t>NA</w:t>
      </w:r>
      <w:r w:rsidRPr="001952A1">
        <w:rPr>
          <w:rFonts w:ascii="Times New Roman" w:hAnsi="Times New Roman" w:cs="Times New Roman"/>
          <w:sz w:val="44"/>
          <w:szCs w:val="44"/>
        </w:rPr>
        <w:t xml:space="preserve"> Biosensor for Pathogenic Vibrio </w:t>
      </w:r>
      <w:proofErr w:type="spellStart"/>
      <w:r w:rsidRPr="001952A1">
        <w:rPr>
          <w:rFonts w:ascii="Times New Roman" w:hAnsi="Times New Roman" w:cs="Times New Roman"/>
          <w:sz w:val="44"/>
          <w:szCs w:val="44"/>
        </w:rPr>
        <w:t>Cholerae</w:t>
      </w:r>
      <w:proofErr w:type="spellEnd"/>
      <w:r w:rsidRPr="001952A1">
        <w:rPr>
          <w:rFonts w:ascii="Times New Roman" w:hAnsi="Times New Roman" w:cs="Times New Roman"/>
          <w:sz w:val="44"/>
          <w:szCs w:val="44"/>
        </w:rPr>
        <w:t xml:space="preserve"> Detection in Real Sample</w:t>
      </w:r>
    </w:p>
    <w:p w:rsidR="006F38FF" w:rsidRDefault="00905F5C" w:rsidP="006F38FF">
      <w:pPr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M.R.Ali</w:t>
      </w:r>
      <w:proofErr w:type="spellEnd"/>
      <w:r w:rsidR="0011767A" w:rsidRPr="00905F5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M.S.Bacchu</w:t>
      </w:r>
      <w:proofErr w:type="spellEnd"/>
      <w:r w:rsidR="0011767A" w:rsidRPr="00905F5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M.A.A.Setu</w:t>
      </w:r>
      <w:proofErr w:type="spellEnd"/>
      <w:r w:rsidR="0011767A" w:rsidRPr="00905F5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S.Akter</w:t>
      </w:r>
      <w:proofErr w:type="spellEnd"/>
      <w:r w:rsidR="0011767A" w:rsidRPr="00905F5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M.N.Hasan</w:t>
      </w:r>
      <w:proofErr w:type="spellEnd"/>
      <w:r w:rsidR="0011767A" w:rsidRPr="00905F5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F.T.Chowdhury</w:t>
      </w:r>
      <w:proofErr w:type="spellEnd"/>
      <w:r w:rsidR="0011767A" w:rsidRPr="00905F5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M.M.Rahman</w:t>
      </w:r>
      <w:proofErr w:type="spellEnd"/>
      <w:r w:rsidR="0011767A" w:rsidRPr="00905F5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proofErr w:type="spellStart"/>
      <w:r w:rsidR="0011767A" w:rsidRPr="00905F5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M.S.Ahommed</w:t>
      </w:r>
      <w:proofErr w:type="spellEnd"/>
      <w:r w:rsidR="0011767A" w:rsidRPr="00905F5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M.Z.H.Khan</w:t>
      </w:r>
      <w:proofErr w:type="spellEnd"/>
    </w:p>
    <w:p w:rsidR="006F38FF" w:rsidRPr="006F38FF" w:rsidRDefault="006F38FF" w:rsidP="006F38FF">
      <w:pPr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6F38FF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</w:rPr>
        <w:t>Abstract</w:t>
      </w:r>
      <w:r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</w:rPr>
        <w:t>:</w:t>
      </w:r>
    </w:p>
    <w:p w:rsidR="006F38FF" w:rsidRPr="007C2F60" w:rsidRDefault="006F38FF" w:rsidP="006F38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Due to the epidemics of emerging microbial diseases worldwide, the accurate and rapid quantification of pathogenic bacteria is e</w:t>
      </w:r>
      <w:bookmarkStart w:id="0" w:name="_GoBack"/>
      <w:bookmarkEnd w:id="0"/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xtremely critical. In this work, a highly sensitive DNA-based </w:t>
      </w:r>
      <w:hyperlink r:id="rId4" w:tooltip="Learn more about electrochemical biosensor from ScienceDirect's AI-generated Topic Pages" w:history="1">
        <w:r w:rsidRPr="007C2F60">
          <w:rPr>
            <w:rFonts w:ascii="Times New Roman" w:eastAsia="Times New Roman" w:hAnsi="Times New Roman" w:cs="Times New Roman"/>
            <w:color w:val="2E2E2E"/>
            <w:sz w:val="24"/>
            <w:szCs w:val="24"/>
          </w:rPr>
          <w:t>electrochemical biosensor</w:t>
        </w:r>
      </w:hyperlink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 has been developed to detect </w:t>
      </w:r>
      <w:hyperlink r:id="rId5" w:tooltip="Learn more about Vibrio cholerae from ScienceDirect's AI-generated Topic Pages" w:history="1">
        <w:r w:rsidRPr="007C2F60">
          <w:rPr>
            <w:rFonts w:ascii="Times New Roman" w:eastAsia="Times New Roman" w:hAnsi="Times New Roman" w:cs="Times New Roman"/>
            <w:i/>
            <w:iCs/>
            <w:color w:val="2E2E2E"/>
            <w:sz w:val="24"/>
            <w:szCs w:val="24"/>
          </w:rPr>
          <w:t xml:space="preserve">Vibrio </w:t>
        </w:r>
        <w:proofErr w:type="spellStart"/>
        <w:r w:rsidRPr="007C2F60">
          <w:rPr>
            <w:rFonts w:ascii="Times New Roman" w:eastAsia="Times New Roman" w:hAnsi="Times New Roman" w:cs="Times New Roman"/>
            <w:i/>
            <w:iCs/>
            <w:color w:val="2E2E2E"/>
            <w:sz w:val="24"/>
            <w:szCs w:val="24"/>
          </w:rPr>
          <w:t>cholerae</w:t>
        </w:r>
        <w:proofErr w:type="spellEnd"/>
      </w:hyperlink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 using gold </w:t>
      </w:r>
      <w:proofErr w:type="spellStart"/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nanocube</w:t>
      </w:r>
      <w:proofErr w:type="spellEnd"/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 and 3-aminopropyltriethoxysilane (APTES) modified </w:t>
      </w:r>
      <w:hyperlink r:id="rId6" w:tooltip="Learn more about glassy carbon from ScienceDirect's AI-generated Topic Pages" w:history="1">
        <w:r w:rsidRPr="007C2F60">
          <w:rPr>
            <w:rFonts w:ascii="Times New Roman" w:eastAsia="Times New Roman" w:hAnsi="Times New Roman" w:cs="Times New Roman"/>
            <w:color w:val="2E2E2E"/>
            <w:sz w:val="24"/>
            <w:szCs w:val="24"/>
          </w:rPr>
          <w:t>glassy carbon</w:t>
        </w:r>
      </w:hyperlink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 electrode (GCE) with DNA carrier matrix. </w:t>
      </w:r>
      <w:hyperlink r:id="rId7" w:tooltip="Learn more about Electrochemical impedance spectroscopy from ScienceDirect's AI-generated Topic Pages" w:history="1">
        <w:r w:rsidRPr="007C2F60">
          <w:rPr>
            <w:rFonts w:ascii="Times New Roman" w:eastAsia="Times New Roman" w:hAnsi="Times New Roman" w:cs="Times New Roman"/>
            <w:color w:val="2E2E2E"/>
            <w:sz w:val="24"/>
            <w:szCs w:val="24"/>
          </w:rPr>
          <w:t>Electrochemical impedance spectroscopy</w:t>
        </w:r>
      </w:hyperlink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 (EIS), </w:t>
      </w:r>
      <w:hyperlink r:id="rId8" w:tooltip="Learn more about cyclic voltammetry from ScienceDirect's AI-generated Topic Pages" w:history="1">
        <w:r w:rsidRPr="007C2F60">
          <w:rPr>
            <w:rFonts w:ascii="Times New Roman" w:eastAsia="Times New Roman" w:hAnsi="Times New Roman" w:cs="Times New Roman"/>
            <w:color w:val="2E2E2E"/>
            <w:sz w:val="24"/>
            <w:szCs w:val="24"/>
          </w:rPr>
          <w:t>cyclic voltammetry</w:t>
        </w:r>
      </w:hyperlink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 (CV), </w:t>
      </w:r>
      <w:hyperlink r:id="rId9" w:tooltip="Learn more about Fourier transform infrared spectroscopy from ScienceDirect's AI-generated Topic Pages" w:history="1">
        <w:r w:rsidRPr="007C2F60">
          <w:rPr>
            <w:rFonts w:ascii="Times New Roman" w:eastAsia="Times New Roman" w:hAnsi="Times New Roman" w:cs="Times New Roman"/>
            <w:color w:val="2E2E2E"/>
            <w:sz w:val="24"/>
            <w:szCs w:val="24"/>
          </w:rPr>
          <w:t>Fourier transform infrared spectroscopy</w:t>
        </w:r>
      </w:hyperlink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 (FTIR), </w:t>
      </w:r>
      <w:hyperlink r:id="rId10" w:tooltip="Learn more about scanning electron microscope from ScienceDirect's AI-generated Topic Pages" w:history="1">
        <w:r w:rsidRPr="007C2F60">
          <w:rPr>
            <w:rFonts w:ascii="Times New Roman" w:eastAsia="Times New Roman" w:hAnsi="Times New Roman" w:cs="Times New Roman"/>
            <w:color w:val="2E2E2E"/>
            <w:sz w:val="24"/>
            <w:szCs w:val="24"/>
          </w:rPr>
          <w:t>scanning electron microscope</w:t>
        </w:r>
      </w:hyperlink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 (SEM) experiments were performed to interrogate the proposed sensor at each stage of preparation. The biosensor has demonstrated high sensitivity with a wide linear response range to target DNA from 10</w:t>
      </w:r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  <w:vertAlign w:val="superscript"/>
        </w:rPr>
        <w:t>−8</w:t>
      </w:r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 to 10</w:t>
      </w:r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  <w:vertAlign w:val="superscript"/>
        </w:rPr>
        <w:t>−14</w:t>
      </w:r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 (</w:t>
      </w:r>
      <w:r w:rsidRPr="007C2F60">
        <w:rPr>
          <w:rFonts w:ascii="Times New Roman" w:eastAsia="Times New Roman" w:hAnsi="Times New Roman" w:cs="Times New Roman"/>
          <w:i/>
          <w:iCs/>
          <w:color w:val="2E2E2E"/>
          <w:sz w:val="24"/>
          <w:szCs w:val="24"/>
        </w:rPr>
        <w:t>R</w:t>
      </w:r>
      <w:r w:rsidRPr="007C2F60">
        <w:rPr>
          <w:rFonts w:ascii="Times New Roman" w:eastAsia="Times New Roman" w:hAnsi="Times New Roman" w:cs="Times New Roman"/>
          <w:i/>
          <w:iCs/>
          <w:color w:val="2E2E2E"/>
          <w:sz w:val="24"/>
          <w:szCs w:val="24"/>
          <w:vertAlign w:val="superscript"/>
        </w:rPr>
        <w:t>2</w:t>
      </w:r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 </w:t>
      </w:r>
      <w:r w:rsidRPr="007C2F60">
        <w:rPr>
          <w:rFonts w:ascii="Times New Roman" w:eastAsia="Times New Roman" w:hAnsi="Times New Roman" w:cs="Times New Roman"/>
          <w:i/>
          <w:iCs/>
          <w:color w:val="2E2E2E"/>
          <w:sz w:val="24"/>
          <w:szCs w:val="24"/>
        </w:rPr>
        <w:t>= 0.992</w:t>
      </w:r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) and 10</w:t>
      </w:r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  <w:vertAlign w:val="superscript"/>
        </w:rPr>
        <w:t>−14</w:t>
      </w:r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 to 10</w:t>
      </w:r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  <w:vertAlign w:val="superscript"/>
        </w:rPr>
        <w:t>−27</w:t>
      </w:r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 molL</w:t>
      </w:r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  <w:vertAlign w:val="superscript"/>
        </w:rPr>
        <w:t>−1</w:t>
      </w:r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 (</w:t>
      </w:r>
      <w:r w:rsidRPr="007C2F60">
        <w:rPr>
          <w:rFonts w:ascii="Times New Roman" w:eastAsia="Times New Roman" w:hAnsi="Times New Roman" w:cs="Times New Roman"/>
          <w:i/>
          <w:iCs/>
          <w:color w:val="2E2E2E"/>
          <w:sz w:val="24"/>
          <w:szCs w:val="24"/>
        </w:rPr>
        <w:t>R</w:t>
      </w:r>
      <w:r w:rsidRPr="007C2F60">
        <w:rPr>
          <w:rFonts w:ascii="Times New Roman" w:eastAsia="Times New Roman" w:hAnsi="Times New Roman" w:cs="Times New Roman"/>
          <w:i/>
          <w:iCs/>
          <w:color w:val="2E2E2E"/>
          <w:sz w:val="24"/>
          <w:szCs w:val="24"/>
          <w:vertAlign w:val="superscript"/>
        </w:rPr>
        <w:t>2</w:t>
      </w:r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 </w:t>
      </w:r>
      <w:r w:rsidRPr="007C2F60">
        <w:rPr>
          <w:rFonts w:ascii="Times New Roman" w:eastAsia="Times New Roman" w:hAnsi="Times New Roman" w:cs="Times New Roman"/>
          <w:i/>
          <w:iCs/>
          <w:color w:val="2E2E2E"/>
          <w:sz w:val="24"/>
          <w:szCs w:val="24"/>
        </w:rPr>
        <w:t>= 0.993</w:t>
      </w:r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) with a limit of detection (LOD) value of 7.41 × 10</w:t>
      </w:r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  <w:vertAlign w:val="superscript"/>
        </w:rPr>
        <w:t>−30</w:t>
      </w:r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 molL</w:t>
      </w:r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  <w:vertAlign w:val="superscript"/>
        </w:rPr>
        <w:t>−1</w:t>
      </w:r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 (</w:t>
      </w:r>
      <w:r w:rsidRPr="007C2F60">
        <w:rPr>
          <w:rFonts w:ascii="Times New Roman" w:eastAsia="Times New Roman" w:hAnsi="Times New Roman" w:cs="Times New Roman"/>
          <w:i/>
          <w:iCs/>
          <w:color w:val="2E2E2E"/>
          <w:sz w:val="24"/>
          <w:szCs w:val="24"/>
        </w:rPr>
        <w:t>S/N = 5</w:t>
      </w:r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). The biosensor also exhibits a selective detection behavior in </w:t>
      </w:r>
      <w:hyperlink r:id="rId11" w:tooltip="Learn more about bacterial cultures from ScienceDirect's AI-generated Topic Pages" w:history="1">
        <w:r w:rsidRPr="007C2F60">
          <w:rPr>
            <w:rFonts w:ascii="Times New Roman" w:eastAsia="Times New Roman" w:hAnsi="Times New Roman" w:cs="Times New Roman"/>
            <w:color w:val="2E2E2E"/>
            <w:sz w:val="24"/>
            <w:szCs w:val="24"/>
          </w:rPr>
          <w:t>bacterial cultures</w:t>
        </w:r>
      </w:hyperlink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 that belong to the same and distant genera. Moreover, the proposed sensor can be used for six consecutive DNA assays with a repeatability relative standard deviations (RSD) value of 5% (</w:t>
      </w:r>
      <w:r w:rsidRPr="007C2F60">
        <w:rPr>
          <w:rFonts w:ascii="Times New Roman" w:eastAsia="Times New Roman" w:hAnsi="Times New Roman" w:cs="Times New Roman"/>
          <w:i/>
          <w:iCs/>
          <w:color w:val="2E2E2E"/>
          <w:sz w:val="24"/>
          <w:szCs w:val="24"/>
        </w:rPr>
        <w:t>n</w:t>
      </w:r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 = 5). Besides, the DNA biosensor shows excellent recovery for detecting </w:t>
      </w:r>
      <w:r w:rsidRPr="007C2F60">
        <w:rPr>
          <w:rFonts w:ascii="Times New Roman" w:eastAsia="Times New Roman" w:hAnsi="Times New Roman" w:cs="Times New Roman"/>
          <w:i/>
          <w:iCs/>
          <w:color w:val="2E2E2E"/>
          <w:sz w:val="24"/>
          <w:szCs w:val="24"/>
        </w:rPr>
        <w:t xml:space="preserve">V. </w:t>
      </w:r>
      <w:proofErr w:type="spellStart"/>
      <w:r w:rsidRPr="007C2F60">
        <w:rPr>
          <w:rFonts w:ascii="Times New Roman" w:eastAsia="Times New Roman" w:hAnsi="Times New Roman" w:cs="Times New Roman"/>
          <w:i/>
          <w:iCs/>
          <w:color w:val="2E2E2E"/>
          <w:sz w:val="24"/>
          <w:szCs w:val="24"/>
        </w:rPr>
        <w:t>cholerae</w:t>
      </w:r>
      <w:proofErr w:type="spellEnd"/>
      <w:r w:rsidRPr="007C2F60">
        <w:rPr>
          <w:rFonts w:ascii="Times New Roman" w:eastAsia="Times New Roman" w:hAnsi="Times New Roman" w:cs="Times New Roman"/>
          <w:color w:val="2E2E2E"/>
          <w:sz w:val="24"/>
          <w:szCs w:val="24"/>
        </w:rPr>
        <w:t> in poultry feces, indicating that the designed biosensor could become a powerful tool for pathogenic microorganisms screening in clinical diagnostics, food safety, and environmental monitoring.</w:t>
      </w:r>
    </w:p>
    <w:p w:rsidR="006F38FF" w:rsidRDefault="006F38FF" w:rsidP="006F38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</w:rPr>
      </w:pPr>
    </w:p>
    <w:p w:rsidR="006F38FF" w:rsidRDefault="00C91EBB" w:rsidP="006F38FF">
      <w:pPr>
        <w:spacing w:after="0" w:line="240" w:lineRule="auto"/>
        <w:jc w:val="both"/>
        <w:rPr>
          <w:rFonts w:ascii="Helvetica" w:hAnsi="Helvetica"/>
          <w:b/>
          <w:bCs/>
          <w:color w:val="4C4C4C"/>
          <w:sz w:val="20"/>
          <w:szCs w:val="20"/>
          <w:shd w:val="clear" w:color="auto" w:fill="FFFFFF"/>
        </w:rPr>
      </w:pPr>
      <w:r>
        <w:rPr>
          <w:rFonts w:ascii="Helvetica" w:hAnsi="Helvetica"/>
          <w:b/>
          <w:bCs/>
          <w:color w:val="4C4C4C"/>
          <w:sz w:val="20"/>
          <w:szCs w:val="20"/>
          <w:shd w:val="clear" w:color="auto" w:fill="FFFFFF"/>
        </w:rPr>
        <w:t>Conference / Journal Link:</w:t>
      </w:r>
    </w:p>
    <w:p w:rsidR="00A701E3" w:rsidRDefault="00A701E3" w:rsidP="006F38FF">
      <w:pPr>
        <w:spacing w:after="0" w:line="240" w:lineRule="auto"/>
        <w:jc w:val="both"/>
        <w:rPr>
          <w:rFonts w:ascii="Helvetica" w:hAnsi="Helvetica"/>
          <w:b/>
          <w:bCs/>
          <w:color w:val="4C4C4C"/>
          <w:sz w:val="20"/>
          <w:szCs w:val="20"/>
          <w:shd w:val="clear" w:color="auto" w:fill="FFFFFF"/>
        </w:rPr>
      </w:pPr>
    </w:p>
    <w:bookmarkStart w:id="1" w:name="cj_link"/>
    <w:p w:rsidR="00C91EBB" w:rsidRPr="00A701E3" w:rsidRDefault="00A701E3" w:rsidP="006F38FF">
      <w:pPr>
        <w:spacing w:after="0" w:line="240" w:lineRule="auto"/>
        <w:jc w:val="both"/>
        <w:rPr>
          <w:color w:val="2E74B5" w:themeColor="accent1" w:themeShade="BF"/>
        </w:rPr>
      </w:pPr>
      <w:r w:rsidRPr="00A701E3">
        <w:rPr>
          <w:color w:val="2E74B5" w:themeColor="accent1" w:themeShade="BF"/>
        </w:rPr>
        <w:fldChar w:fldCharType="begin"/>
      </w:r>
      <w:r w:rsidRPr="00A701E3">
        <w:rPr>
          <w:color w:val="2E74B5" w:themeColor="accent1" w:themeShade="BF"/>
        </w:rPr>
        <w:instrText xml:space="preserve"> HYPERLINK "https://www.sciencedirect.com/science/article/abs/pii/S0956566321003754" \l "!" \t "_blank" </w:instrText>
      </w:r>
      <w:r w:rsidRPr="00A701E3">
        <w:rPr>
          <w:color w:val="2E74B5" w:themeColor="accent1" w:themeShade="BF"/>
        </w:rPr>
        <w:fldChar w:fldCharType="separate"/>
      </w:r>
      <w:r w:rsidRPr="00A701E3">
        <w:rPr>
          <w:rStyle w:val="Hyperlink"/>
          <w:rFonts w:ascii="Helvetica" w:hAnsi="Helvetica"/>
          <w:color w:val="2E74B5" w:themeColor="accent1" w:themeShade="BF"/>
          <w:sz w:val="20"/>
          <w:szCs w:val="20"/>
          <w:shd w:val="clear" w:color="auto" w:fill="FFFFFF"/>
        </w:rPr>
        <w:t>https://www.sciencedirect.com/science/article/abs/pii/S0956566321003754#!</w:t>
      </w:r>
      <w:r w:rsidRPr="00A701E3">
        <w:rPr>
          <w:color w:val="2E74B5" w:themeColor="accent1" w:themeShade="BF"/>
        </w:rPr>
        <w:fldChar w:fldCharType="end"/>
      </w:r>
      <w:bookmarkEnd w:id="1"/>
    </w:p>
    <w:p w:rsidR="00A701E3" w:rsidRDefault="00A701E3" w:rsidP="006F38FF">
      <w:pPr>
        <w:spacing w:after="0" w:line="240" w:lineRule="auto"/>
        <w:jc w:val="both"/>
      </w:pPr>
    </w:p>
    <w:p w:rsidR="00A701E3" w:rsidRDefault="00A701E3" w:rsidP="006F38FF">
      <w:pPr>
        <w:spacing w:after="0" w:line="240" w:lineRule="auto"/>
        <w:jc w:val="both"/>
      </w:pPr>
      <w:r>
        <w:t>DOI:</w:t>
      </w:r>
    </w:p>
    <w:p w:rsidR="00A701E3" w:rsidRDefault="00A701E3" w:rsidP="006F38FF">
      <w:pPr>
        <w:spacing w:after="0" w:line="240" w:lineRule="auto"/>
        <w:jc w:val="both"/>
      </w:pPr>
    </w:p>
    <w:p w:rsidR="00A701E3" w:rsidRPr="006F38FF" w:rsidRDefault="007C2F60" w:rsidP="006F38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</w:pPr>
      <w:hyperlink r:id="rId12" w:tgtFrame="_blank" w:tooltip="Persistent link using digital object identifier" w:history="1">
        <w:r w:rsidR="00A701E3" w:rsidRPr="00A701E3">
          <w:rPr>
            <w:rStyle w:val="Hyperlink"/>
            <w:rFonts w:ascii="Arial" w:hAnsi="Arial" w:cs="Arial"/>
            <w:color w:val="2E74B5" w:themeColor="accent1" w:themeShade="BF"/>
            <w:sz w:val="21"/>
            <w:szCs w:val="21"/>
          </w:rPr>
          <w:t>https://doi.org/10.1016/j.bios.2021.113338</w:t>
        </w:r>
      </w:hyperlink>
    </w:p>
    <w:p w:rsidR="006F38FF" w:rsidRDefault="006F38FF">
      <w:pPr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</w:p>
    <w:p w:rsidR="006F38FF" w:rsidRPr="00905F5C" w:rsidRDefault="006F38FF">
      <w:pPr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</w:p>
    <w:p w:rsidR="002436C5" w:rsidRPr="0011767A" w:rsidRDefault="002436C5">
      <w:pPr>
        <w:rPr>
          <w:rFonts w:ascii="Times New Roman" w:hAnsi="Times New Roman" w:cs="Times New Roman"/>
          <w:sz w:val="24"/>
          <w:szCs w:val="24"/>
        </w:rPr>
      </w:pPr>
    </w:p>
    <w:sectPr w:rsidR="002436C5" w:rsidRPr="001176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6EB"/>
    <w:rsid w:val="00000B73"/>
    <w:rsid w:val="000453C2"/>
    <w:rsid w:val="0011767A"/>
    <w:rsid w:val="001952A1"/>
    <w:rsid w:val="002436C5"/>
    <w:rsid w:val="00416A6A"/>
    <w:rsid w:val="006D5D69"/>
    <w:rsid w:val="006F38FF"/>
    <w:rsid w:val="00753A85"/>
    <w:rsid w:val="007C2F60"/>
    <w:rsid w:val="00905F5C"/>
    <w:rsid w:val="00A701E3"/>
    <w:rsid w:val="00C91EBB"/>
    <w:rsid w:val="00D34EDE"/>
    <w:rsid w:val="00E016EB"/>
    <w:rsid w:val="00F2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20170D-49CB-4724-85AD-CCF170C07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F38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">
    <w:name w:val="text"/>
    <w:basedOn w:val="DefaultParagraphFont"/>
    <w:rsid w:val="0011767A"/>
  </w:style>
  <w:style w:type="character" w:customStyle="1" w:styleId="author-ref">
    <w:name w:val="author-ref"/>
    <w:basedOn w:val="DefaultParagraphFont"/>
    <w:rsid w:val="0011767A"/>
  </w:style>
  <w:style w:type="character" w:customStyle="1" w:styleId="Heading2Char">
    <w:name w:val="Heading 2 Char"/>
    <w:basedOn w:val="DefaultParagraphFont"/>
    <w:link w:val="Heading2"/>
    <w:uiPriority w:val="9"/>
    <w:rsid w:val="006F38F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F3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F38F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F38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3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82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biochemistry-genetics-and-molecular-biology/cyclic-voltammetry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engineering/electrochemical-impedance-spectroscopy" TargetMode="External"/><Relationship Id="rId12" Type="http://schemas.openxmlformats.org/officeDocument/2006/relationships/hyperlink" Target="https://doi.org/10.1016/j.bios.2021.11333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engineering/glassy-carbon" TargetMode="External"/><Relationship Id="rId11" Type="http://schemas.openxmlformats.org/officeDocument/2006/relationships/hyperlink" Target="https://www.sciencedirect.com/topics/engineering/bacterial-culture" TargetMode="External"/><Relationship Id="rId5" Type="http://schemas.openxmlformats.org/officeDocument/2006/relationships/hyperlink" Target="https://www.sciencedirect.com/topics/biochemistry-genetics-and-molecular-biology/vibrio-cholerae" TargetMode="External"/><Relationship Id="rId10" Type="http://schemas.openxmlformats.org/officeDocument/2006/relationships/hyperlink" Target="https://www.sciencedirect.com/topics/engineering/scanning-electron-microscope" TargetMode="External"/><Relationship Id="rId4" Type="http://schemas.openxmlformats.org/officeDocument/2006/relationships/hyperlink" Target="https://www.sciencedirect.com/topics/engineering/electrochemical-biosensors" TargetMode="External"/><Relationship Id="rId9" Type="http://schemas.openxmlformats.org/officeDocument/2006/relationships/hyperlink" Target="https://www.sciencedirect.com/topics/engineering/fourier-transform-infrared-spectroscop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31</cp:revision>
  <dcterms:created xsi:type="dcterms:W3CDTF">2021-09-25T06:47:00Z</dcterms:created>
  <dcterms:modified xsi:type="dcterms:W3CDTF">2021-09-25T07:43:00Z</dcterms:modified>
</cp:coreProperties>
</file>