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D15" w:rsidRPr="002B4D15" w:rsidRDefault="002B4D15" w:rsidP="002B4D15">
      <w:pPr>
        <w:jc w:val="both"/>
        <w:rPr>
          <w:rFonts w:ascii="Times New Roman" w:hAnsi="Times New Roman" w:cs="Times New Roman"/>
          <w:b/>
          <w:sz w:val="44"/>
          <w:szCs w:val="44"/>
        </w:rPr>
      </w:pPr>
      <w:bookmarkStart w:id="0" w:name="_GoBack"/>
      <w:r>
        <w:rPr>
          <w:rFonts w:ascii="Times New Roman" w:hAnsi="Times New Roman" w:cs="Times New Roman"/>
          <w:b/>
          <w:sz w:val="44"/>
          <w:szCs w:val="44"/>
        </w:rPr>
        <w:t>Refractive Index-b</w:t>
      </w:r>
      <w:r w:rsidRPr="002B4D15">
        <w:rPr>
          <w:rFonts w:ascii="Times New Roman" w:hAnsi="Times New Roman" w:cs="Times New Roman"/>
          <w:b/>
          <w:sz w:val="44"/>
          <w:szCs w:val="44"/>
        </w:rPr>
        <w:t>ased Blood Components Sensing in Terahertz Spectrum</w:t>
      </w:r>
    </w:p>
    <w:bookmarkEnd w:id="0"/>
    <w:p w:rsidR="00D0675D" w:rsidRPr="002B4D15" w:rsidRDefault="002B4D15" w:rsidP="002B4D15">
      <w:pPr>
        <w:jc w:val="both"/>
        <w:rPr>
          <w:rFonts w:ascii="Times New Roman" w:hAnsi="Times New Roman" w:cs="Times New Roman"/>
          <w:color w:val="2E74B5" w:themeColor="accent1" w:themeShade="BF"/>
          <w:sz w:val="24"/>
          <w:szCs w:val="24"/>
        </w:rPr>
      </w:pPr>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"https://ieeexplore.ieee.org/author/37085618852" </w:instrText>
      </w:r>
      <w:r w:rsidRPr="002B4D15">
        <w:rPr>
          <w:rFonts w:ascii="Times New Roman" w:hAnsi="Times New Roman" w:cs="Times New Roman"/>
          <w:color w:val="2E74B5" w:themeColor="accent1" w:themeShade="BF"/>
          <w:sz w:val="24"/>
          <w:szCs w:val="24"/>
        </w:rPr>
        <w:fldChar w:fldCharType="separate"/>
      </w:r>
      <w:proofErr w:type="spellStart"/>
      <w:r w:rsidRPr="002B4D15">
        <w:rPr>
          <w:rStyle w:val="Hyperlink"/>
          <w:rFonts w:ascii="Times New Roman" w:hAnsi="Times New Roman" w:cs="Times New Roman"/>
          <w:color w:val="2E74B5" w:themeColor="accent1" w:themeShade="BF"/>
          <w:sz w:val="24"/>
          <w:szCs w:val="24"/>
          <w:u w:val="none"/>
        </w:rPr>
        <w:t>Kawsar</w:t>
      </w:r>
      <w:proofErr w:type="spellEnd"/>
      <w:r w:rsidRPr="002B4D15">
        <w:rPr>
          <w:rStyle w:val="Hyperlink"/>
          <w:rFonts w:ascii="Times New Roman" w:hAnsi="Times New Roman" w:cs="Times New Roman"/>
          <w:color w:val="2E74B5" w:themeColor="accent1" w:themeShade="BF"/>
          <w:sz w:val="24"/>
          <w:szCs w:val="24"/>
          <w:u w:val="none"/>
        </w:rPr>
        <w:t xml:space="preserve"> Ahmed</w:t>
      </w:r>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proofErr w:type="spellStart"/>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"https://ieeexplore.ieee.org/author/37086519432" </w:instrText>
      </w:r>
      <w:r w:rsidRPr="002B4D15">
        <w:rPr>
          <w:rFonts w:ascii="Times New Roman" w:hAnsi="Times New Roman" w:cs="Times New Roman"/>
          <w:color w:val="2E74B5" w:themeColor="accent1" w:themeShade="BF"/>
          <w:sz w:val="24"/>
          <w:szCs w:val="24"/>
        </w:rPr>
        <w:fldChar w:fldCharType="separate"/>
      </w:r>
      <w:r w:rsidRPr="002B4D15">
        <w:rPr>
          <w:rStyle w:val="Hyperlink"/>
          <w:rFonts w:ascii="Times New Roman" w:hAnsi="Times New Roman" w:cs="Times New Roman"/>
          <w:color w:val="2E74B5" w:themeColor="accent1" w:themeShade="BF"/>
          <w:sz w:val="24"/>
          <w:szCs w:val="24"/>
          <w:u w:val="none"/>
        </w:rPr>
        <w:t>Fahad</w:t>
      </w:r>
      <w:proofErr w:type="spellEnd"/>
      <w:r w:rsidRPr="002B4D15">
        <w:rPr>
          <w:rStyle w:val="Hyperlink"/>
          <w:rFonts w:ascii="Times New Roman" w:hAnsi="Times New Roman" w:cs="Times New Roman"/>
          <w:color w:val="2E74B5" w:themeColor="accent1" w:themeShade="BF"/>
          <w:sz w:val="24"/>
          <w:szCs w:val="24"/>
          <w:u w:val="none"/>
        </w:rPr>
        <w:t xml:space="preserve"> Ahmed</w:t>
      </w:r>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proofErr w:type="spellStart"/>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"https://ieeexplore.ieee.org/author/37086517382" </w:instrText>
      </w:r>
      <w:r w:rsidRPr="002B4D15">
        <w:rPr>
          <w:rFonts w:ascii="Times New Roman" w:hAnsi="Times New Roman" w:cs="Times New Roman"/>
          <w:color w:val="2E74B5" w:themeColor="accent1" w:themeShade="BF"/>
          <w:sz w:val="24"/>
          <w:szCs w:val="24"/>
        </w:rPr>
        <w:fldChar w:fldCharType="separate"/>
      </w:r>
      <w:r w:rsidRPr="002B4D15">
        <w:rPr>
          <w:rStyle w:val="Hyperlink"/>
          <w:rFonts w:ascii="Times New Roman" w:hAnsi="Times New Roman" w:cs="Times New Roman"/>
          <w:color w:val="2E74B5" w:themeColor="accent1" w:themeShade="BF"/>
          <w:sz w:val="24"/>
          <w:szCs w:val="24"/>
          <w:u w:val="none"/>
        </w:rPr>
        <w:t>Subrata</w:t>
      </w:r>
      <w:proofErr w:type="spellEnd"/>
      <w:r w:rsidRPr="002B4D15">
        <w:rPr>
          <w:rStyle w:val="Hyperlink"/>
          <w:rFonts w:ascii="Times New Roman" w:hAnsi="Times New Roman" w:cs="Times New Roman"/>
          <w:color w:val="2E74B5" w:themeColor="accent1" w:themeShade="BF"/>
          <w:sz w:val="24"/>
          <w:szCs w:val="24"/>
          <w:u w:val="none"/>
        </w:rPr>
        <w:t xml:space="preserve"> Roy</w:t>
      </w:r>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proofErr w:type="spellStart"/>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"https://ieeexplore.ieee.org/author/37086149756" </w:instrText>
      </w:r>
      <w:r w:rsidRPr="002B4D15">
        <w:rPr>
          <w:rFonts w:ascii="Times New Roman" w:hAnsi="Times New Roman" w:cs="Times New Roman"/>
          <w:color w:val="2E74B5" w:themeColor="accent1" w:themeShade="BF"/>
          <w:sz w:val="24"/>
          <w:szCs w:val="24"/>
        </w:rPr>
        <w:fldChar w:fldCharType="separate"/>
      </w:r>
      <w:r w:rsidRPr="002B4D15">
        <w:rPr>
          <w:rStyle w:val="Hyperlink"/>
          <w:rFonts w:ascii="Times New Roman" w:hAnsi="Times New Roman" w:cs="Times New Roman"/>
          <w:color w:val="2E74B5" w:themeColor="accent1" w:themeShade="BF"/>
          <w:sz w:val="24"/>
          <w:szCs w:val="24"/>
          <w:u w:val="none"/>
        </w:rPr>
        <w:t>Bikash</w:t>
      </w:r>
      <w:proofErr w:type="spellEnd"/>
      <w:r w:rsidRPr="002B4D15">
        <w:rPr>
          <w:rStyle w:val="Hyperlink"/>
          <w:rFonts w:ascii="Times New Roman" w:hAnsi="Times New Roman" w:cs="Times New Roman"/>
          <w:color w:val="2E74B5" w:themeColor="accent1" w:themeShade="BF"/>
          <w:sz w:val="24"/>
          <w:szCs w:val="24"/>
          <w:u w:val="none"/>
        </w:rPr>
        <w:t xml:space="preserve"> Kumar Paul</w:t>
      </w:r>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proofErr w:type="spellStart"/>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"https://ieeexplore.ieee.org/author/37085373389" </w:instrText>
      </w:r>
      <w:r w:rsidRPr="002B4D15">
        <w:rPr>
          <w:rFonts w:ascii="Times New Roman" w:hAnsi="Times New Roman" w:cs="Times New Roman"/>
          <w:color w:val="2E74B5" w:themeColor="accent1" w:themeShade="BF"/>
          <w:sz w:val="24"/>
          <w:szCs w:val="24"/>
        </w:rPr>
        <w:fldChar w:fldCharType="separate"/>
      </w:r>
      <w:r w:rsidRPr="002B4D15">
        <w:rPr>
          <w:rStyle w:val="Hyperlink"/>
          <w:rFonts w:ascii="Times New Roman" w:hAnsi="Times New Roman" w:cs="Times New Roman"/>
          <w:color w:val="2E74B5" w:themeColor="accent1" w:themeShade="BF"/>
          <w:sz w:val="24"/>
          <w:szCs w:val="24"/>
          <w:u w:val="none"/>
        </w:rPr>
        <w:t>Mst</w:t>
      </w:r>
      <w:proofErr w:type="spellEnd"/>
      <w:r w:rsidRPr="002B4D15">
        <w:rPr>
          <w:rStyle w:val="Hyperlink"/>
          <w:rFonts w:ascii="Times New Roman" w:hAnsi="Times New Roman" w:cs="Times New Roman"/>
          <w:color w:val="2E74B5" w:themeColor="accent1" w:themeShade="BF"/>
          <w:sz w:val="24"/>
          <w:szCs w:val="24"/>
          <w:u w:val="none"/>
        </w:rPr>
        <w:t xml:space="preserve">. </w:t>
      </w:r>
      <w:proofErr w:type="spellStart"/>
      <w:r w:rsidRPr="002B4D15">
        <w:rPr>
          <w:rStyle w:val="Hyperlink"/>
          <w:rFonts w:ascii="Times New Roman" w:hAnsi="Times New Roman" w:cs="Times New Roman"/>
          <w:color w:val="2E74B5" w:themeColor="accent1" w:themeShade="BF"/>
          <w:sz w:val="24"/>
          <w:szCs w:val="24"/>
          <w:u w:val="none"/>
        </w:rPr>
        <w:t>Nargis</w:t>
      </w:r>
      <w:proofErr w:type="spellEnd"/>
      <w:r w:rsidRPr="002B4D15">
        <w:rPr>
          <w:rStyle w:val="Hyperlink"/>
          <w:rFonts w:ascii="Times New Roman" w:hAnsi="Times New Roman" w:cs="Times New Roman"/>
          <w:color w:val="2E74B5" w:themeColor="accent1" w:themeShade="BF"/>
          <w:sz w:val="24"/>
          <w:szCs w:val="24"/>
          <w:u w:val="none"/>
        </w:rPr>
        <w:t xml:space="preserve"> </w:t>
      </w:r>
      <w:proofErr w:type="spellStart"/>
      <w:r w:rsidRPr="002B4D15">
        <w:rPr>
          <w:rStyle w:val="Hyperlink"/>
          <w:rFonts w:ascii="Times New Roman" w:hAnsi="Times New Roman" w:cs="Times New Roman"/>
          <w:color w:val="2E74B5" w:themeColor="accent1" w:themeShade="BF"/>
          <w:sz w:val="24"/>
          <w:szCs w:val="24"/>
          <w:u w:val="none"/>
        </w:rPr>
        <w:t>Aktar</w:t>
      </w:r>
      <w:proofErr w:type="spellEnd"/>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proofErr w:type="spellStart"/>
      <w:r w:rsidRPr="002B4D15">
        <w:rPr>
          <w:rFonts w:ascii="Times New Roman" w:hAnsi="Times New Roman" w:cs="Times New Roman"/>
          <w:color w:val="2E74B5" w:themeColor="accent1" w:themeShade="BF"/>
          <w:sz w:val="24"/>
          <w:szCs w:val="24"/>
        </w:rPr>
        <w:fldChar w:fldCharType="begin"/>
      </w:r>
      <w:r w:rsidRPr="002B4D15">
        <w:rPr>
          <w:rFonts w:ascii="Times New Roman" w:hAnsi="Times New Roman" w:cs="Times New Roman"/>
          <w:color w:val="2E74B5" w:themeColor="accent1" w:themeShade="BF"/>
          <w:sz w:val="24"/>
          <w:szCs w:val="24"/>
        </w:rPr>
        <w:instrText xml:space="preserve"> HYPERLINK "https://ieeexplore.ieee.org/author/37086518949" </w:instrText>
      </w:r>
      <w:r w:rsidRPr="002B4D15">
        <w:rPr>
          <w:rFonts w:ascii="Times New Roman" w:hAnsi="Times New Roman" w:cs="Times New Roman"/>
          <w:color w:val="2E74B5" w:themeColor="accent1" w:themeShade="BF"/>
          <w:sz w:val="24"/>
          <w:szCs w:val="24"/>
        </w:rPr>
        <w:fldChar w:fldCharType="separate"/>
      </w:r>
      <w:r w:rsidRPr="002B4D15">
        <w:rPr>
          <w:rStyle w:val="Hyperlink"/>
          <w:rFonts w:ascii="Times New Roman" w:hAnsi="Times New Roman" w:cs="Times New Roman"/>
          <w:color w:val="2E74B5" w:themeColor="accent1" w:themeShade="BF"/>
          <w:sz w:val="24"/>
          <w:szCs w:val="24"/>
          <w:u w:val="none"/>
        </w:rPr>
        <w:t>Dhasarathan</w:t>
      </w:r>
      <w:proofErr w:type="spellEnd"/>
      <w:r w:rsidRPr="002B4D15">
        <w:rPr>
          <w:rStyle w:val="Hyperlink"/>
          <w:rFonts w:ascii="Times New Roman" w:hAnsi="Times New Roman" w:cs="Times New Roman"/>
          <w:color w:val="2E74B5" w:themeColor="accent1" w:themeShade="BF"/>
          <w:sz w:val="24"/>
          <w:szCs w:val="24"/>
          <w:u w:val="none"/>
        </w:rPr>
        <w:t xml:space="preserve"> </w:t>
      </w:r>
      <w:proofErr w:type="spellStart"/>
      <w:r w:rsidRPr="002B4D15">
        <w:rPr>
          <w:rStyle w:val="Hyperlink"/>
          <w:rFonts w:ascii="Times New Roman" w:hAnsi="Times New Roman" w:cs="Times New Roman"/>
          <w:color w:val="2E74B5" w:themeColor="accent1" w:themeShade="BF"/>
          <w:sz w:val="24"/>
          <w:szCs w:val="24"/>
          <w:u w:val="none"/>
        </w:rPr>
        <w:t>Vigneswaran</w:t>
      </w:r>
      <w:proofErr w:type="spellEnd"/>
      <w:r w:rsidRPr="002B4D15">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B4D15">
        <w:rPr>
          <w:rFonts w:ascii="Times New Roman" w:hAnsi="Times New Roman" w:cs="Times New Roman"/>
          <w:color w:val="2E74B5" w:themeColor="accent1" w:themeShade="BF"/>
          <w:sz w:val="24"/>
          <w:szCs w:val="24"/>
        </w:rPr>
        <w:t> </w:t>
      </w:r>
      <w:hyperlink r:id="rId4" w:history="1">
        <w:r w:rsidRPr="002B4D15">
          <w:rPr>
            <w:rStyle w:val="Hyperlink"/>
            <w:rFonts w:ascii="Times New Roman" w:hAnsi="Times New Roman" w:cs="Times New Roman"/>
            <w:color w:val="2E74B5" w:themeColor="accent1" w:themeShade="BF"/>
            <w:sz w:val="24"/>
            <w:szCs w:val="24"/>
            <w:u w:val="none"/>
          </w:rPr>
          <w:t xml:space="preserve">Md. </w:t>
        </w:r>
        <w:proofErr w:type="spellStart"/>
        <w:r w:rsidRPr="002B4D15">
          <w:rPr>
            <w:rStyle w:val="Hyperlink"/>
            <w:rFonts w:ascii="Times New Roman" w:hAnsi="Times New Roman" w:cs="Times New Roman"/>
            <w:color w:val="2E74B5" w:themeColor="accent1" w:themeShade="BF"/>
            <w:sz w:val="24"/>
            <w:szCs w:val="24"/>
            <w:u w:val="none"/>
          </w:rPr>
          <w:t>Saiful</w:t>
        </w:r>
        <w:proofErr w:type="spellEnd"/>
        <w:r w:rsidRPr="002B4D15">
          <w:rPr>
            <w:rStyle w:val="Hyperlink"/>
            <w:rFonts w:ascii="Times New Roman" w:hAnsi="Times New Roman" w:cs="Times New Roman"/>
            <w:color w:val="2E74B5" w:themeColor="accent1" w:themeShade="BF"/>
            <w:sz w:val="24"/>
            <w:szCs w:val="24"/>
            <w:u w:val="none"/>
          </w:rPr>
          <w:t xml:space="preserve"> Islam</w:t>
        </w:r>
      </w:hyperlink>
    </w:p>
    <w:p w:rsidR="002B4D15" w:rsidRPr="002B4D15" w:rsidRDefault="002B4D15" w:rsidP="002B4D15">
      <w:pPr>
        <w:spacing w:after="0" w:line="276" w:lineRule="auto"/>
        <w:jc w:val="both"/>
        <w:rPr>
          <w:rFonts w:ascii="Times New Roman" w:hAnsi="Times New Roman" w:cs="Times New Roman"/>
          <w:b/>
          <w:sz w:val="24"/>
          <w:szCs w:val="24"/>
        </w:rPr>
      </w:pPr>
      <w:r w:rsidRPr="002B4D15">
        <w:rPr>
          <w:rFonts w:ascii="Times New Roman" w:hAnsi="Times New Roman" w:cs="Times New Roman"/>
          <w:b/>
          <w:sz w:val="24"/>
          <w:szCs w:val="24"/>
        </w:rPr>
        <w:t>Abstract:</w:t>
      </w:r>
    </w:p>
    <w:p w:rsidR="002B4D15" w:rsidRPr="002B4D15" w:rsidRDefault="002B4D15" w:rsidP="002B4D15">
      <w:pPr>
        <w:jc w:val="both"/>
        <w:rPr>
          <w:rFonts w:ascii="Times New Roman" w:hAnsi="Times New Roman" w:cs="Times New Roman"/>
          <w:sz w:val="24"/>
          <w:szCs w:val="24"/>
        </w:rPr>
      </w:pPr>
      <w:r w:rsidRPr="002B4D15">
        <w:rPr>
          <w:rFonts w:ascii="Times New Roman" w:hAnsi="Times New Roman" w:cs="Times New Roman"/>
          <w:sz w:val="24"/>
          <w:szCs w:val="24"/>
        </w:rPr>
        <w:t xml:space="preserve">In this paper, a novel partial type-b crystalline core with more compact cladding in hexagonal packing photonic crystal fiber (CC-PCF)-based optical sensor has been proposed for sensing different blood components. This fiber has investigated in terahertz (THz) region from 1.5 to 3.50 THz, intending to superior relative sensitivity with low confinement loss (CL). Circular air holes have been employed in the formation of the partial type-b crystalline core in a symmetric manner. A significant relative sensitivity response of 80.93%, 80.56%, 80.13%, 79.91%, and 79.39% are achieved for the targeted </w:t>
      </w:r>
      <w:proofErr w:type="spellStart"/>
      <w:r w:rsidRPr="002B4D15">
        <w:rPr>
          <w:rFonts w:ascii="Times New Roman" w:hAnsi="Times New Roman" w:cs="Times New Roman"/>
          <w:sz w:val="24"/>
          <w:szCs w:val="24"/>
        </w:rPr>
        <w:t>analytes</w:t>
      </w:r>
      <w:proofErr w:type="spellEnd"/>
      <w:r w:rsidRPr="002B4D15">
        <w:rPr>
          <w:rFonts w:ascii="Times New Roman" w:hAnsi="Times New Roman" w:cs="Times New Roman"/>
          <w:sz w:val="24"/>
          <w:szCs w:val="24"/>
        </w:rPr>
        <w:t xml:space="preserve"> such as RBCs, hemoglobin, WBCs, plasma, and water at </w:t>
      </w:r>
      <w:proofErr w:type="spellStart"/>
      <w:r w:rsidRPr="002B4D15">
        <w:rPr>
          <w:rFonts w:ascii="Times New Roman" w:hAnsi="Times New Roman" w:cs="Times New Roman"/>
          <w:sz w:val="24"/>
          <w:szCs w:val="24"/>
        </w:rPr>
        <w:t>frequencyf</w:t>
      </w:r>
      <w:proofErr w:type="spellEnd"/>
      <w:r w:rsidRPr="002B4D15">
        <w:rPr>
          <w:rFonts w:ascii="Times New Roman" w:hAnsi="Times New Roman" w:cs="Times New Roman"/>
          <w:sz w:val="24"/>
          <w:szCs w:val="24"/>
        </w:rPr>
        <w:t xml:space="preserve"> = 1.5 THz. In X-polarization mode, a negligible CL of 1.23 × 10 -11 dB/m, 8.63 × 10 -12 dB/m, 4.93 × 10 -12 dB/m, 2.93 × 10 -12 dB/m, and 1.13 × 10 -12 dB/m are also gained, respectively, for same </w:t>
      </w:r>
      <w:proofErr w:type="spellStart"/>
      <w:r w:rsidRPr="002B4D15">
        <w:rPr>
          <w:rFonts w:ascii="Times New Roman" w:hAnsi="Times New Roman" w:cs="Times New Roman"/>
          <w:sz w:val="24"/>
          <w:szCs w:val="24"/>
        </w:rPr>
        <w:t>analytes</w:t>
      </w:r>
      <w:proofErr w:type="spellEnd"/>
      <w:r w:rsidRPr="002B4D15">
        <w:rPr>
          <w:rFonts w:ascii="Times New Roman" w:hAnsi="Times New Roman" w:cs="Times New Roman"/>
          <w:sz w:val="24"/>
          <w:szCs w:val="24"/>
        </w:rPr>
        <w:t xml:space="preserve"> and at same THz frequency. Moreover, effective area (A </w:t>
      </w:r>
      <w:proofErr w:type="spellStart"/>
      <w:proofErr w:type="gramStart"/>
      <w:r w:rsidRPr="002B4D15">
        <w:rPr>
          <w:rFonts w:ascii="Times New Roman" w:hAnsi="Times New Roman" w:cs="Times New Roman"/>
          <w:sz w:val="24"/>
          <w:szCs w:val="24"/>
        </w:rPr>
        <w:t>eff</w:t>
      </w:r>
      <w:proofErr w:type="spellEnd"/>
      <w:r w:rsidRPr="002B4D15">
        <w:rPr>
          <w:rFonts w:ascii="Times New Roman" w:hAnsi="Times New Roman" w:cs="Times New Roman"/>
          <w:sz w:val="24"/>
          <w:szCs w:val="24"/>
        </w:rPr>
        <w:t> )</w:t>
      </w:r>
      <w:proofErr w:type="gramEnd"/>
      <w:r w:rsidRPr="002B4D15">
        <w:rPr>
          <w:rFonts w:ascii="Times New Roman" w:hAnsi="Times New Roman" w:cs="Times New Roman"/>
          <w:sz w:val="24"/>
          <w:szCs w:val="24"/>
        </w:rPr>
        <w:t>, V-Parameter (V </w:t>
      </w:r>
      <w:proofErr w:type="spellStart"/>
      <w:r w:rsidRPr="002B4D15">
        <w:rPr>
          <w:rFonts w:ascii="Times New Roman" w:hAnsi="Times New Roman" w:cs="Times New Roman"/>
          <w:sz w:val="24"/>
          <w:szCs w:val="24"/>
        </w:rPr>
        <w:t>eff</w:t>
      </w:r>
      <w:proofErr w:type="spellEnd"/>
      <w:r w:rsidRPr="002B4D15">
        <w:rPr>
          <w:rFonts w:ascii="Times New Roman" w:hAnsi="Times New Roman" w:cs="Times New Roman"/>
          <w:sz w:val="24"/>
          <w:szCs w:val="24"/>
        </w:rPr>
        <w:t> ), dispersion (β 2 ), spot size (W </w:t>
      </w:r>
      <w:proofErr w:type="spellStart"/>
      <w:r w:rsidRPr="002B4D15">
        <w:rPr>
          <w:rFonts w:ascii="Times New Roman" w:hAnsi="Times New Roman" w:cs="Times New Roman"/>
          <w:sz w:val="24"/>
          <w:szCs w:val="24"/>
        </w:rPr>
        <w:t>eff</w:t>
      </w:r>
      <w:proofErr w:type="spellEnd"/>
      <w:r w:rsidRPr="002B4D15">
        <w:rPr>
          <w:rFonts w:ascii="Times New Roman" w:hAnsi="Times New Roman" w:cs="Times New Roman"/>
          <w:sz w:val="24"/>
          <w:szCs w:val="24"/>
        </w:rPr>
        <w:t> ), and beam divergence (θ) have been determined over the investigated region. The improved outcomes are anticipated that the proposed CC-PCF sensor will be opened a new epoch in biomedical sensing purposes.</w:t>
      </w:r>
    </w:p>
    <w:p w:rsidR="002B4D15" w:rsidRPr="002B4D15" w:rsidRDefault="002B4D15" w:rsidP="002B4D15">
      <w:pPr>
        <w:spacing w:after="0" w:line="276" w:lineRule="auto"/>
        <w:rPr>
          <w:rFonts w:ascii="Times New Roman" w:hAnsi="Times New Roman" w:cs="Times New Roman"/>
          <w:b/>
          <w:sz w:val="24"/>
          <w:szCs w:val="24"/>
        </w:rPr>
      </w:pPr>
      <w:r w:rsidRPr="002B4D15">
        <w:rPr>
          <w:rFonts w:ascii="Times New Roman" w:hAnsi="Times New Roman" w:cs="Times New Roman"/>
          <w:b/>
          <w:sz w:val="24"/>
          <w:szCs w:val="24"/>
        </w:rPr>
        <w:t>Conference / Journal Link:</w:t>
      </w:r>
    </w:p>
    <w:p w:rsidR="002B4D15" w:rsidRPr="002B4D15" w:rsidRDefault="002B4D15" w:rsidP="002B4D15">
      <w:pPr>
        <w:rPr>
          <w:rFonts w:ascii="Times New Roman" w:hAnsi="Times New Roman" w:cs="Times New Roman"/>
          <w:sz w:val="24"/>
          <w:szCs w:val="24"/>
        </w:rPr>
      </w:pPr>
      <w:hyperlink r:id="rId5" w:history="1">
        <w:r w:rsidRPr="002B4D15">
          <w:rPr>
            <w:rStyle w:val="Hyperlink"/>
            <w:rFonts w:ascii="Times New Roman" w:hAnsi="Times New Roman" w:cs="Times New Roman"/>
            <w:sz w:val="24"/>
            <w:szCs w:val="24"/>
          </w:rPr>
          <w:t>https://www.semanticscholar.org/paper/Refractive-Index-Based-Blood-Components-Sensing-in-Ahmed-Ahmed/b7c7c0f37f695b05fd7964553f373d2e704e9eb3</w:t>
        </w:r>
      </w:hyperlink>
    </w:p>
    <w:p w:rsidR="002B4D15" w:rsidRPr="002B4D15" w:rsidRDefault="002B4D15" w:rsidP="002B4D15">
      <w:pPr>
        <w:spacing w:after="0" w:line="276" w:lineRule="auto"/>
        <w:rPr>
          <w:rFonts w:ascii="Times New Roman" w:hAnsi="Times New Roman" w:cs="Times New Roman"/>
          <w:b/>
          <w:sz w:val="24"/>
          <w:szCs w:val="24"/>
        </w:rPr>
      </w:pPr>
      <w:r w:rsidRPr="002B4D15">
        <w:rPr>
          <w:rFonts w:ascii="Times New Roman" w:hAnsi="Times New Roman" w:cs="Times New Roman"/>
          <w:b/>
          <w:sz w:val="24"/>
          <w:szCs w:val="24"/>
        </w:rPr>
        <w:t>DOI:</w:t>
      </w:r>
    </w:p>
    <w:p w:rsidR="002B4D15" w:rsidRPr="002B4D15" w:rsidRDefault="002B4D15" w:rsidP="002B4D15">
      <w:pPr>
        <w:rPr>
          <w:rFonts w:ascii="Times New Roman" w:hAnsi="Times New Roman" w:cs="Times New Roman"/>
          <w:sz w:val="24"/>
          <w:szCs w:val="24"/>
        </w:rPr>
      </w:pPr>
      <w:hyperlink r:id="rId6" w:tgtFrame="_blank" w:history="1">
        <w:r w:rsidRPr="002B4D15">
          <w:rPr>
            <w:rStyle w:val="Hyperlink"/>
            <w:rFonts w:ascii="Times New Roman" w:hAnsi="Times New Roman" w:cs="Times New Roman"/>
            <w:sz w:val="24"/>
            <w:szCs w:val="24"/>
          </w:rPr>
          <w:t>10.1109/JSEN.2019.2895166</w:t>
        </w:r>
      </w:hyperlink>
    </w:p>
    <w:sectPr w:rsidR="002B4D15" w:rsidRPr="002B4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D15"/>
    <w:rsid w:val="002B4D15"/>
    <w:rsid w:val="00D0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4806A8-3AC3-409D-AF98-0462BA794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B4D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D15"/>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2B4D15"/>
  </w:style>
  <w:style w:type="character" w:customStyle="1" w:styleId="blue-tooltip">
    <w:name w:val="blue-tooltip"/>
    <w:basedOn w:val="DefaultParagraphFont"/>
    <w:rsid w:val="002B4D15"/>
  </w:style>
  <w:style w:type="character" w:styleId="Hyperlink">
    <w:name w:val="Hyperlink"/>
    <w:basedOn w:val="DefaultParagraphFont"/>
    <w:uiPriority w:val="99"/>
    <w:unhideWhenUsed/>
    <w:rsid w:val="002B4D15"/>
    <w:rPr>
      <w:color w:val="0000FF"/>
      <w:u w:val="single"/>
    </w:rPr>
  </w:style>
  <w:style w:type="character" w:styleId="Strong">
    <w:name w:val="Strong"/>
    <w:basedOn w:val="DefaultParagraphFont"/>
    <w:uiPriority w:val="22"/>
    <w:qFormat/>
    <w:rsid w:val="002B4D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7690">
      <w:bodyDiv w:val="1"/>
      <w:marLeft w:val="0"/>
      <w:marRight w:val="0"/>
      <w:marTop w:val="0"/>
      <w:marBottom w:val="0"/>
      <w:divBdr>
        <w:top w:val="none" w:sz="0" w:space="0" w:color="auto"/>
        <w:left w:val="none" w:sz="0" w:space="0" w:color="auto"/>
        <w:bottom w:val="none" w:sz="0" w:space="0" w:color="auto"/>
        <w:right w:val="none" w:sz="0" w:space="0" w:color="auto"/>
      </w:divBdr>
      <w:divsChild>
        <w:div w:id="1677534624">
          <w:marLeft w:val="0"/>
          <w:marRight w:val="0"/>
          <w:marTop w:val="0"/>
          <w:marBottom w:val="0"/>
          <w:divBdr>
            <w:top w:val="none" w:sz="0" w:space="0" w:color="auto"/>
            <w:left w:val="none" w:sz="0" w:space="0" w:color="auto"/>
            <w:bottom w:val="none" w:sz="0" w:space="0" w:color="auto"/>
            <w:right w:val="none" w:sz="0" w:space="0" w:color="auto"/>
          </w:divBdr>
        </w:div>
      </w:divsChild>
    </w:div>
    <w:div w:id="645475724">
      <w:bodyDiv w:val="1"/>
      <w:marLeft w:val="0"/>
      <w:marRight w:val="0"/>
      <w:marTop w:val="0"/>
      <w:marBottom w:val="0"/>
      <w:divBdr>
        <w:top w:val="none" w:sz="0" w:space="0" w:color="auto"/>
        <w:left w:val="none" w:sz="0" w:space="0" w:color="auto"/>
        <w:bottom w:val="none" w:sz="0" w:space="0" w:color="auto"/>
        <w:right w:val="none" w:sz="0" w:space="0" w:color="auto"/>
      </w:divBdr>
    </w:div>
    <w:div w:id="67839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JSEN.2019.2895166" TargetMode="External"/><Relationship Id="rId5" Type="http://schemas.openxmlformats.org/officeDocument/2006/relationships/hyperlink" Target="https://www.semanticscholar.org/paper/Refractive-Index-Based-Blood-Components-Sensing-in-Ahmed-Ahmed/b7c7c0f37f695b05fd7964553f373d2e704e9eb3" TargetMode="External"/><Relationship Id="rId4" Type="http://schemas.openxmlformats.org/officeDocument/2006/relationships/hyperlink" Target="https://ieeexplore.ieee.org/author/38636248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2021-10-24T03:46:00Z</dcterms:created>
  <dcterms:modified xsi:type="dcterms:W3CDTF">2021-10-24T03:51:00Z</dcterms:modified>
</cp:coreProperties>
</file>