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A8B" w:rsidRPr="006E4D4E" w:rsidRDefault="007129DF">
      <w:pPr>
        <w:rPr>
          <w:rFonts w:ascii="Times New Roman" w:hAnsi="Times New Roman" w:cs="Times New Roman"/>
          <w:color w:val="4C4C4C"/>
          <w:sz w:val="44"/>
          <w:szCs w:val="44"/>
          <w:shd w:val="clear" w:color="auto" w:fill="FFFFFF"/>
        </w:rPr>
      </w:pPr>
      <w:r w:rsidRPr="006E4D4E">
        <w:rPr>
          <w:rFonts w:ascii="Times New Roman" w:hAnsi="Times New Roman" w:cs="Times New Roman"/>
          <w:color w:val="4C4C4C"/>
          <w:sz w:val="44"/>
          <w:szCs w:val="44"/>
          <w:shd w:val="clear" w:color="auto" w:fill="FFFFFF"/>
        </w:rPr>
        <w:t xml:space="preserve">Surface </w:t>
      </w:r>
      <w:r w:rsidRPr="006E4D4E">
        <w:rPr>
          <w:rFonts w:ascii="Times New Roman" w:hAnsi="Times New Roman" w:cs="Times New Roman"/>
          <w:color w:val="4C4C4C"/>
          <w:sz w:val="44"/>
          <w:szCs w:val="44"/>
          <w:shd w:val="clear" w:color="auto" w:fill="FFFFFF"/>
        </w:rPr>
        <w:t>Plasmon Resonance-Based Gold-Coated Biosensor for the Detection of Fuel Adulteration</w:t>
      </w:r>
    </w:p>
    <w:p w:rsidR="007129DF" w:rsidRPr="007129DF" w:rsidRDefault="007129DF" w:rsidP="007129DF">
      <w:pPr>
        <w:shd w:val="clear" w:color="auto" w:fill="FCFCFC"/>
        <w:spacing w:before="100" w:beforeAutospacing="1" w:after="100" w:afterAutospacing="1" w:line="240" w:lineRule="auto"/>
        <w:rPr>
          <w:rFonts w:ascii="Times New Roman" w:eastAsia="Times New Roman" w:hAnsi="Times New Roman" w:cs="Times New Roman"/>
          <w:sz w:val="24"/>
          <w:szCs w:val="24"/>
        </w:rPr>
      </w:pPr>
      <w:hyperlink r:id="rId5" w:anchor="auth-Kawsar-Ahmed" w:history="1">
        <w:proofErr w:type="spellStart"/>
        <w:r w:rsidRPr="007129DF">
          <w:rPr>
            <w:rFonts w:ascii="Times New Roman" w:eastAsia="Times New Roman" w:hAnsi="Times New Roman" w:cs="Times New Roman"/>
            <w:sz w:val="24"/>
            <w:szCs w:val="24"/>
          </w:rPr>
          <w:t>Kawsar</w:t>
        </w:r>
        <w:proofErr w:type="spellEnd"/>
        <w:r w:rsidRPr="007129DF">
          <w:rPr>
            <w:rFonts w:ascii="Times New Roman" w:eastAsia="Times New Roman" w:hAnsi="Times New Roman" w:cs="Times New Roman"/>
            <w:sz w:val="24"/>
            <w:szCs w:val="24"/>
          </w:rPr>
          <w:t xml:space="preserve"> Ahmed</w:t>
        </w:r>
      </w:hyperlink>
      <w:r w:rsidRPr="007129DF">
        <w:rPr>
          <w:rFonts w:ascii="Times New Roman" w:eastAsia="Times New Roman" w:hAnsi="Times New Roman" w:cs="Times New Roman"/>
          <w:sz w:val="24"/>
          <w:szCs w:val="24"/>
        </w:rPr>
        <w:t xml:space="preserve">, </w:t>
      </w:r>
      <w:hyperlink r:id="rId6" w:anchor="auth-Md__Asaduzzaman-Jabin" w:history="1">
        <w:r w:rsidRPr="007129DF">
          <w:rPr>
            <w:rFonts w:ascii="Times New Roman" w:eastAsia="Times New Roman" w:hAnsi="Times New Roman" w:cs="Times New Roman"/>
            <w:sz w:val="24"/>
            <w:szCs w:val="24"/>
          </w:rPr>
          <w:t xml:space="preserve">Md. </w:t>
        </w:r>
        <w:proofErr w:type="spellStart"/>
        <w:r w:rsidRPr="007129DF">
          <w:rPr>
            <w:rFonts w:ascii="Times New Roman" w:eastAsia="Times New Roman" w:hAnsi="Times New Roman" w:cs="Times New Roman"/>
            <w:sz w:val="24"/>
            <w:szCs w:val="24"/>
          </w:rPr>
          <w:t>Asaduzzaman</w:t>
        </w:r>
        <w:proofErr w:type="spellEnd"/>
        <w:r w:rsidRPr="007129DF">
          <w:rPr>
            <w:rFonts w:ascii="Times New Roman" w:eastAsia="Times New Roman" w:hAnsi="Times New Roman" w:cs="Times New Roman"/>
            <w:sz w:val="24"/>
            <w:szCs w:val="24"/>
          </w:rPr>
          <w:t xml:space="preserve"> </w:t>
        </w:r>
        <w:proofErr w:type="spellStart"/>
        <w:r w:rsidRPr="007129DF">
          <w:rPr>
            <w:rFonts w:ascii="Times New Roman" w:eastAsia="Times New Roman" w:hAnsi="Times New Roman" w:cs="Times New Roman"/>
            <w:sz w:val="24"/>
            <w:szCs w:val="24"/>
          </w:rPr>
          <w:t>Jabin</w:t>
        </w:r>
        <w:proofErr w:type="spellEnd"/>
      </w:hyperlink>
      <w:r w:rsidRPr="007129DF">
        <w:rPr>
          <w:rFonts w:ascii="Times New Roman" w:eastAsia="Times New Roman" w:hAnsi="Times New Roman" w:cs="Times New Roman"/>
          <w:sz w:val="24"/>
          <w:szCs w:val="24"/>
        </w:rPr>
        <w:t xml:space="preserve">, </w:t>
      </w:r>
      <w:hyperlink r:id="rId7" w:anchor="auth-Bikash_Kumar-Paul" w:history="1">
        <w:proofErr w:type="spellStart"/>
        <w:r w:rsidRPr="007129DF">
          <w:rPr>
            <w:rFonts w:ascii="Times New Roman" w:eastAsia="Times New Roman" w:hAnsi="Times New Roman" w:cs="Times New Roman"/>
            <w:sz w:val="24"/>
            <w:szCs w:val="24"/>
          </w:rPr>
          <w:t>Bikash</w:t>
        </w:r>
        <w:proofErr w:type="spellEnd"/>
        <w:r w:rsidRPr="007129DF">
          <w:rPr>
            <w:rFonts w:ascii="Times New Roman" w:eastAsia="Times New Roman" w:hAnsi="Times New Roman" w:cs="Times New Roman"/>
            <w:sz w:val="24"/>
            <w:szCs w:val="24"/>
          </w:rPr>
          <w:t xml:space="preserve"> Kumar Paul</w:t>
        </w:r>
      </w:hyperlink>
      <w:bookmarkStart w:id="0" w:name="_GoBack"/>
      <w:bookmarkEnd w:id="0"/>
    </w:p>
    <w:p w:rsidR="007129DF" w:rsidRPr="007129DF" w:rsidRDefault="007129DF" w:rsidP="007129DF">
      <w:pPr>
        <w:spacing w:before="150" w:after="150" w:line="240" w:lineRule="auto"/>
        <w:jc w:val="both"/>
        <w:rPr>
          <w:rFonts w:ascii="Times New Roman" w:eastAsia="Times New Roman" w:hAnsi="Times New Roman" w:cs="Times New Roman"/>
          <w:color w:val="4C4C4C"/>
          <w:sz w:val="24"/>
          <w:szCs w:val="24"/>
        </w:rPr>
      </w:pPr>
      <w:r w:rsidRPr="007129DF">
        <w:rPr>
          <w:rFonts w:ascii="Times New Roman" w:eastAsia="Times New Roman" w:hAnsi="Times New Roman" w:cs="Times New Roman"/>
          <w:color w:val="4C4C4C"/>
          <w:sz w:val="24"/>
          <w:szCs w:val="24"/>
        </w:rPr>
        <w:t>Abstract</w:t>
      </w:r>
    </w:p>
    <w:p w:rsidR="007129DF" w:rsidRPr="007129DF" w:rsidRDefault="007129DF" w:rsidP="007129DF">
      <w:pPr>
        <w:shd w:val="clear" w:color="auto" w:fill="FCFCFC"/>
        <w:spacing w:before="100" w:beforeAutospacing="1" w:after="100" w:afterAutospacing="1" w:line="240" w:lineRule="auto"/>
        <w:jc w:val="both"/>
        <w:rPr>
          <w:rFonts w:ascii="Times New Roman" w:hAnsi="Times New Roman" w:cs="Times New Roman"/>
          <w:color w:val="4C4C4C"/>
          <w:sz w:val="24"/>
          <w:szCs w:val="24"/>
          <w:shd w:val="clear" w:color="auto" w:fill="FFFFFF"/>
        </w:rPr>
      </w:pPr>
      <w:r w:rsidRPr="007129DF">
        <w:rPr>
          <w:rFonts w:ascii="Times New Roman" w:hAnsi="Times New Roman" w:cs="Times New Roman"/>
          <w:color w:val="4C4C4C"/>
          <w:sz w:val="24"/>
          <w:szCs w:val="24"/>
          <w:shd w:val="clear" w:color="auto" w:fill="FFFFFF"/>
        </w:rPr>
        <w:t xml:space="preserve">A novel surface </w:t>
      </w:r>
      <w:proofErr w:type="spellStart"/>
      <w:r w:rsidRPr="007129DF">
        <w:rPr>
          <w:rFonts w:ascii="Times New Roman" w:hAnsi="Times New Roman" w:cs="Times New Roman"/>
          <w:color w:val="4C4C4C"/>
          <w:sz w:val="24"/>
          <w:szCs w:val="24"/>
          <w:shd w:val="clear" w:color="auto" w:fill="FFFFFF"/>
        </w:rPr>
        <w:t>plasmon</w:t>
      </w:r>
      <w:proofErr w:type="spellEnd"/>
      <w:r w:rsidRPr="007129DF">
        <w:rPr>
          <w:rFonts w:ascii="Times New Roman" w:hAnsi="Times New Roman" w:cs="Times New Roman"/>
          <w:color w:val="4C4C4C"/>
          <w:sz w:val="24"/>
          <w:szCs w:val="24"/>
          <w:shd w:val="clear" w:color="auto" w:fill="FFFFFF"/>
        </w:rPr>
        <w:t xml:space="preserve"> resonance (SPR)-based gold-coated photonic crystal fiber (PCF) biosensor is proposed herein for the detection of oil adulteration. The overall performance is studied using full three-dimensional (3D) simulations based on the finite-difference method on a mesh of 221,209 elements in COMSOL </w:t>
      </w:r>
      <w:proofErr w:type="spellStart"/>
      <w:r w:rsidRPr="007129DF">
        <w:rPr>
          <w:rFonts w:ascii="Times New Roman" w:hAnsi="Times New Roman" w:cs="Times New Roman"/>
          <w:color w:val="4C4C4C"/>
          <w:sz w:val="24"/>
          <w:szCs w:val="24"/>
          <w:shd w:val="clear" w:color="auto" w:fill="FFFFFF"/>
        </w:rPr>
        <w:t>Multiphysics</w:t>
      </w:r>
      <w:proofErr w:type="spellEnd"/>
      <w:r w:rsidRPr="007129DF">
        <w:rPr>
          <w:rFonts w:ascii="Times New Roman" w:hAnsi="Times New Roman" w:cs="Times New Roman"/>
          <w:color w:val="4C4C4C"/>
          <w:sz w:val="24"/>
          <w:szCs w:val="24"/>
          <w:shd w:val="clear" w:color="auto" w:fill="FFFFFF"/>
        </w:rPr>
        <w:t xml:space="preserve"> software, considering adulteration measurements at 25 °C (298 K) on different mixtures and concentrations of adulterated oil. Such measurements of fuel adulteration can have important implications for the global economy and gross domestic product (GDP) growth, as well as for quality control of imported or exported crude oil and fossil fuels worldwide. In this regard, the oil sensor proposed herein represents an important option and is shown to offer better performance compared with other sensors. The main advantages of such </w:t>
      </w:r>
      <w:proofErr w:type="spellStart"/>
      <w:r w:rsidRPr="007129DF">
        <w:rPr>
          <w:rFonts w:ascii="Times New Roman" w:hAnsi="Times New Roman" w:cs="Times New Roman"/>
          <w:color w:val="4C4C4C"/>
          <w:sz w:val="24"/>
          <w:szCs w:val="24"/>
          <w:shd w:val="clear" w:color="auto" w:fill="FFFFFF"/>
        </w:rPr>
        <w:t>plasmonic</w:t>
      </w:r>
      <w:proofErr w:type="spellEnd"/>
      <w:r w:rsidRPr="007129DF">
        <w:rPr>
          <w:rFonts w:ascii="Times New Roman" w:hAnsi="Times New Roman" w:cs="Times New Roman"/>
          <w:color w:val="4C4C4C"/>
          <w:sz w:val="24"/>
          <w:szCs w:val="24"/>
          <w:shd w:val="clear" w:color="auto" w:fill="FFFFFF"/>
        </w:rPr>
        <w:t xml:space="preserve"> sensors are their reusability, low cost, and portability, while offering better accuracy than existing electronic sensors. The maximum performance in terms of the major optical parameters of birefringence (</w:t>
      </w:r>
      <w:r w:rsidRPr="007129DF">
        <w:rPr>
          <w:rFonts w:ascii="Times New Roman" w:hAnsi="Times New Roman" w:cs="Times New Roman"/>
          <w:i/>
          <w:iCs/>
          <w:color w:val="4C4C4C"/>
          <w:sz w:val="24"/>
          <w:szCs w:val="24"/>
          <w:shd w:val="clear" w:color="auto" w:fill="FFFFFF"/>
        </w:rPr>
        <w:t>B</w:t>
      </w:r>
      <w:r w:rsidRPr="007129DF">
        <w:rPr>
          <w:rFonts w:ascii="Times New Roman" w:hAnsi="Times New Roman" w:cs="Times New Roman"/>
          <w:i/>
          <w:iCs/>
          <w:color w:val="4C4C4C"/>
          <w:sz w:val="24"/>
          <w:szCs w:val="24"/>
          <w:shd w:val="clear" w:color="auto" w:fill="FFFFFF"/>
          <w:vertAlign w:val="subscript"/>
        </w:rPr>
        <w:t>i</w:t>
      </w:r>
      <w:r w:rsidRPr="007129DF">
        <w:rPr>
          <w:rFonts w:ascii="Times New Roman" w:hAnsi="Times New Roman" w:cs="Times New Roman"/>
          <w:color w:val="4C4C4C"/>
          <w:sz w:val="24"/>
          <w:szCs w:val="24"/>
          <w:shd w:val="clear" w:color="auto" w:fill="FFFFFF"/>
        </w:rPr>
        <w:t>), coupling length (</w:t>
      </w:r>
      <w:proofErr w:type="spellStart"/>
      <w:r w:rsidRPr="007129DF">
        <w:rPr>
          <w:rFonts w:ascii="Times New Roman" w:hAnsi="Times New Roman" w:cs="Times New Roman"/>
          <w:i/>
          <w:iCs/>
          <w:color w:val="4C4C4C"/>
          <w:sz w:val="24"/>
          <w:szCs w:val="24"/>
          <w:shd w:val="clear" w:color="auto" w:fill="FFFFFF"/>
        </w:rPr>
        <w:t>L</w:t>
      </w:r>
      <w:r w:rsidRPr="007129DF">
        <w:rPr>
          <w:rFonts w:ascii="Times New Roman" w:hAnsi="Times New Roman" w:cs="Times New Roman"/>
          <w:color w:val="4C4C4C"/>
          <w:sz w:val="24"/>
          <w:szCs w:val="24"/>
          <w:shd w:val="clear" w:color="auto" w:fill="FFFFFF"/>
          <w:vertAlign w:val="subscript"/>
        </w:rPr>
        <w:t>c</w:t>
      </w:r>
      <w:proofErr w:type="spellEnd"/>
      <w:r w:rsidRPr="007129DF">
        <w:rPr>
          <w:rFonts w:ascii="Times New Roman" w:hAnsi="Times New Roman" w:cs="Times New Roman"/>
          <w:color w:val="4C4C4C"/>
          <w:sz w:val="24"/>
          <w:szCs w:val="24"/>
          <w:shd w:val="clear" w:color="auto" w:fill="FFFFFF"/>
        </w:rPr>
        <w:t>), power fraction (</w:t>
      </w:r>
      <w:r w:rsidRPr="007129DF">
        <w:rPr>
          <w:rFonts w:ascii="Times New Roman" w:hAnsi="Times New Roman" w:cs="Times New Roman"/>
          <w:i/>
          <w:iCs/>
          <w:color w:val="4C4C4C"/>
          <w:sz w:val="24"/>
          <w:szCs w:val="24"/>
          <w:shd w:val="clear" w:color="auto" w:fill="FFFFFF"/>
        </w:rPr>
        <w:t>P</w:t>
      </w:r>
      <w:r w:rsidRPr="007129DF">
        <w:rPr>
          <w:rFonts w:ascii="Times New Roman" w:hAnsi="Times New Roman" w:cs="Times New Roman"/>
          <w:color w:val="4C4C4C"/>
          <w:sz w:val="24"/>
          <w:szCs w:val="24"/>
          <w:shd w:val="clear" w:color="auto" w:fill="FFFFFF"/>
          <w:vertAlign w:val="subscript"/>
        </w:rPr>
        <w:t>f</w:t>
      </w:r>
      <w:r w:rsidRPr="007129DF">
        <w:rPr>
          <w:rFonts w:ascii="Times New Roman" w:hAnsi="Times New Roman" w:cs="Times New Roman"/>
          <w:color w:val="4C4C4C"/>
          <w:sz w:val="24"/>
          <w:szCs w:val="24"/>
          <w:shd w:val="clear" w:color="auto" w:fill="FFFFFF"/>
        </w:rPr>
        <w:t>), confinement loss (</w:t>
      </w:r>
      <w:r w:rsidRPr="007129DF">
        <w:rPr>
          <w:rFonts w:ascii="Times New Roman" w:hAnsi="Times New Roman" w:cs="Times New Roman"/>
          <w:i/>
          <w:iCs/>
          <w:color w:val="4C4C4C"/>
          <w:sz w:val="24"/>
          <w:szCs w:val="24"/>
          <w:shd w:val="clear" w:color="auto" w:fill="FFFFFF"/>
        </w:rPr>
        <w:t>α</w:t>
      </w:r>
      <w:r w:rsidRPr="007129DF">
        <w:rPr>
          <w:rFonts w:ascii="Times New Roman" w:hAnsi="Times New Roman" w:cs="Times New Roman"/>
          <w:color w:val="4C4C4C"/>
          <w:sz w:val="24"/>
          <w:szCs w:val="24"/>
          <w:shd w:val="clear" w:color="auto" w:fill="FFFFFF"/>
          <w:vertAlign w:val="subscript"/>
        </w:rPr>
        <w:t>c</w:t>
      </w:r>
      <w:r w:rsidRPr="007129DF">
        <w:rPr>
          <w:rFonts w:ascii="Times New Roman" w:hAnsi="Times New Roman" w:cs="Times New Roman"/>
          <w:color w:val="4C4C4C"/>
          <w:sz w:val="24"/>
          <w:szCs w:val="24"/>
          <w:shd w:val="clear" w:color="auto" w:fill="FFFFFF"/>
        </w:rPr>
        <w:t>), amplitude sensitivity (</w:t>
      </w:r>
      <w:r w:rsidRPr="007129DF">
        <w:rPr>
          <w:rFonts w:ascii="Times New Roman" w:hAnsi="Times New Roman" w:cs="Times New Roman"/>
          <w:i/>
          <w:iCs/>
          <w:color w:val="4C4C4C"/>
          <w:sz w:val="24"/>
          <w:szCs w:val="24"/>
          <w:shd w:val="clear" w:color="auto" w:fill="FFFFFF"/>
        </w:rPr>
        <w:t>S</w:t>
      </w:r>
      <w:r w:rsidRPr="007129DF">
        <w:rPr>
          <w:rFonts w:ascii="Times New Roman" w:hAnsi="Times New Roman" w:cs="Times New Roman"/>
          <w:color w:val="4C4C4C"/>
          <w:sz w:val="24"/>
          <w:szCs w:val="24"/>
          <w:shd w:val="clear" w:color="auto" w:fill="FFFFFF"/>
          <w:vertAlign w:val="subscript"/>
        </w:rPr>
        <w:t>a</w:t>
      </w:r>
      <w:r w:rsidRPr="007129DF">
        <w:rPr>
          <w:rFonts w:ascii="Times New Roman" w:hAnsi="Times New Roman" w:cs="Times New Roman"/>
          <w:color w:val="4C4C4C"/>
          <w:sz w:val="24"/>
          <w:szCs w:val="24"/>
          <w:shd w:val="clear" w:color="auto" w:fill="FFFFFF"/>
        </w:rPr>
        <w:t>), wavelength sensitivity (</w:t>
      </w:r>
      <w:proofErr w:type="spellStart"/>
      <w:r w:rsidRPr="007129DF">
        <w:rPr>
          <w:rFonts w:ascii="Times New Roman" w:hAnsi="Times New Roman" w:cs="Times New Roman"/>
          <w:i/>
          <w:iCs/>
          <w:color w:val="4C4C4C"/>
          <w:sz w:val="24"/>
          <w:szCs w:val="24"/>
          <w:shd w:val="clear" w:color="auto" w:fill="FFFFFF"/>
        </w:rPr>
        <w:t>S</w:t>
      </w:r>
      <w:r w:rsidRPr="007129DF">
        <w:rPr>
          <w:rFonts w:ascii="Times New Roman" w:hAnsi="Times New Roman" w:cs="Times New Roman"/>
          <w:color w:val="4C4C4C"/>
          <w:sz w:val="24"/>
          <w:szCs w:val="24"/>
          <w:shd w:val="clear" w:color="auto" w:fill="FFFFFF"/>
          <w:vertAlign w:val="subscript"/>
        </w:rPr>
        <w:t>w</w:t>
      </w:r>
      <w:proofErr w:type="spellEnd"/>
      <w:r w:rsidRPr="007129DF">
        <w:rPr>
          <w:rFonts w:ascii="Times New Roman" w:hAnsi="Times New Roman" w:cs="Times New Roman"/>
          <w:color w:val="4C4C4C"/>
          <w:sz w:val="24"/>
          <w:szCs w:val="24"/>
          <w:shd w:val="clear" w:color="auto" w:fill="FFFFFF"/>
        </w:rPr>
        <w:t>), resolution (</w:t>
      </w:r>
      <w:proofErr w:type="spellStart"/>
      <w:r w:rsidRPr="007129DF">
        <w:rPr>
          <w:rFonts w:ascii="Times New Roman" w:hAnsi="Times New Roman" w:cs="Times New Roman"/>
          <w:i/>
          <w:iCs/>
          <w:color w:val="4C4C4C"/>
          <w:sz w:val="24"/>
          <w:szCs w:val="24"/>
          <w:shd w:val="clear" w:color="auto" w:fill="FFFFFF"/>
        </w:rPr>
        <w:t>Rl</w:t>
      </w:r>
      <w:proofErr w:type="spellEnd"/>
      <w:r w:rsidRPr="007129DF">
        <w:rPr>
          <w:rFonts w:ascii="Times New Roman" w:hAnsi="Times New Roman" w:cs="Times New Roman"/>
          <w:color w:val="4C4C4C"/>
          <w:sz w:val="24"/>
          <w:szCs w:val="24"/>
          <w:shd w:val="clear" w:color="auto" w:fill="FFFFFF"/>
        </w:rPr>
        <w:t>), transmittance (</w:t>
      </w:r>
      <w:proofErr w:type="spellStart"/>
      <w:r w:rsidRPr="007129DF">
        <w:rPr>
          <w:rFonts w:ascii="Times New Roman" w:hAnsi="Times New Roman" w:cs="Times New Roman"/>
          <w:i/>
          <w:iCs/>
          <w:color w:val="4C4C4C"/>
          <w:sz w:val="24"/>
          <w:szCs w:val="24"/>
          <w:shd w:val="clear" w:color="auto" w:fill="FFFFFF"/>
        </w:rPr>
        <w:t>T</w:t>
      </w:r>
      <w:r w:rsidRPr="007129DF">
        <w:rPr>
          <w:rFonts w:ascii="Times New Roman" w:hAnsi="Times New Roman" w:cs="Times New Roman"/>
          <w:color w:val="4C4C4C"/>
          <w:sz w:val="24"/>
          <w:szCs w:val="24"/>
          <w:shd w:val="clear" w:color="auto" w:fill="FFFFFF"/>
          <w:vertAlign w:val="subscript"/>
        </w:rPr>
        <w:t>x</w:t>
      </w:r>
      <w:proofErr w:type="spellEnd"/>
      <w:r w:rsidRPr="007129DF">
        <w:rPr>
          <w:rFonts w:ascii="Times New Roman" w:hAnsi="Times New Roman" w:cs="Times New Roman"/>
          <w:color w:val="4C4C4C"/>
          <w:sz w:val="24"/>
          <w:szCs w:val="24"/>
          <w:shd w:val="clear" w:color="auto" w:fill="FFFFFF"/>
        </w:rPr>
        <w:t>), transmittance variance (</w:t>
      </w:r>
      <w:proofErr w:type="spellStart"/>
      <w:r w:rsidRPr="007129DF">
        <w:rPr>
          <w:rFonts w:ascii="Times New Roman" w:hAnsi="Times New Roman" w:cs="Times New Roman"/>
          <w:i/>
          <w:iCs/>
          <w:color w:val="4C4C4C"/>
          <w:sz w:val="24"/>
          <w:szCs w:val="24"/>
          <w:shd w:val="clear" w:color="auto" w:fill="FFFFFF"/>
        </w:rPr>
        <w:t>T</w:t>
      </w:r>
      <w:r w:rsidRPr="007129DF">
        <w:rPr>
          <w:rFonts w:ascii="Times New Roman" w:hAnsi="Times New Roman" w:cs="Times New Roman"/>
          <w:color w:val="4C4C4C"/>
          <w:sz w:val="24"/>
          <w:szCs w:val="24"/>
          <w:shd w:val="clear" w:color="auto" w:fill="FFFFFF"/>
          <w:vertAlign w:val="subscript"/>
        </w:rPr>
        <w:t>v</w:t>
      </w:r>
      <w:proofErr w:type="spellEnd"/>
      <w:r w:rsidRPr="007129DF">
        <w:rPr>
          <w:rFonts w:ascii="Times New Roman" w:hAnsi="Times New Roman" w:cs="Times New Roman"/>
          <w:color w:val="4C4C4C"/>
          <w:sz w:val="24"/>
          <w:szCs w:val="24"/>
          <w:shd w:val="clear" w:color="auto" w:fill="FFFFFF"/>
        </w:rPr>
        <w:t>), relative sensitivity (</w:t>
      </w:r>
      <w:proofErr w:type="spellStart"/>
      <w:r w:rsidRPr="007129DF">
        <w:rPr>
          <w:rFonts w:ascii="Times New Roman" w:hAnsi="Times New Roman" w:cs="Times New Roman"/>
          <w:i/>
          <w:iCs/>
          <w:color w:val="4C4C4C"/>
          <w:sz w:val="24"/>
          <w:szCs w:val="24"/>
          <w:shd w:val="clear" w:color="auto" w:fill="FFFFFF"/>
        </w:rPr>
        <w:t>S</w:t>
      </w:r>
      <w:r w:rsidRPr="007129DF">
        <w:rPr>
          <w:rFonts w:ascii="Times New Roman" w:hAnsi="Times New Roman" w:cs="Times New Roman"/>
          <w:color w:val="4C4C4C"/>
          <w:sz w:val="24"/>
          <w:szCs w:val="24"/>
          <w:shd w:val="clear" w:color="auto" w:fill="FFFFFF"/>
          <w:vertAlign w:val="subscript"/>
        </w:rPr>
        <w:t>r</w:t>
      </w:r>
      <w:proofErr w:type="spellEnd"/>
      <w:r w:rsidRPr="007129DF">
        <w:rPr>
          <w:rFonts w:ascii="Times New Roman" w:hAnsi="Times New Roman" w:cs="Times New Roman"/>
          <w:color w:val="4C4C4C"/>
          <w:sz w:val="24"/>
          <w:szCs w:val="24"/>
          <w:shd w:val="clear" w:color="auto" w:fill="FFFFFF"/>
        </w:rPr>
        <w:t>), figure of merit, and resonance (</w:t>
      </w:r>
      <w:r w:rsidRPr="007129DF">
        <w:rPr>
          <w:rFonts w:ascii="Times New Roman" w:hAnsi="Times New Roman" w:cs="Times New Roman"/>
          <w:i/>
          <w:iCs/>
          <w:color w:val="4C4C4C"/>
          <w:sz w:val="24"/>
          <w:szCs w:val="24"/>
          <w:shd w:val="clear" w:color="auto" w:fill="FFFFFF"/>
        </w:rPr>
        <w:t>R</w:t>
      </w:r>
      <w:r w:rsidRPr="007129DF">
        <w:rPr>
          <w:rFonts w:ascii="Times New Roman" w:hAnsi="Times New Roman" w:cs="Times New Roman"/>
          <w:color w:val="4C4C4C"/>
          <w:sz w:val="24"/>
          <w:szCs w:val="24"/>
          <w:shd w:val="clear" w:color="auto" w:fill="FFFFFF"/>
          <w:vertAlign w:val="superscript"/>
        </w:rPr>
        <w:t>2</w:t>
      </w:r>
      <w:r w:rsidRPr="007129DF">
        <w:rPr>
          <w:rFonts w:ascii="Times New Roman" w:hAnsi="Times New Roman" w:cs="Times New Roman"/>
          <w:color w:val="4C4C4C"/>
          <w:sz w:val="24"/>
          <w:szCs w:val="24"/>
          <w:shd w:val="clear" w:color="auto" w:fill="FFFFFF"/>
        </w:rPr>
        <w:t>) is found to be 4.0 × 10</w:t>
      </w:r>
      <w:r w:rsidRPr="007129DF">
        <w:rPr>
          <w:rFonts w:ascii="Times New Roman" w:hAnsi="Times New Roman" w:cs="Times New Roman"/>
          <w:color w:val="4C4C4C"/>
          <w:sz w:val="24"/>
          <w:szCs w:val="24"/>
          <w:shd w:val="clear" w:color="auto" w:fill="FFFFFF"/>
          <w:vertAlign w:val="superscript"/>
        </w:rPr>
        <w:t>−3</w:t>
      </w:r>
      <w:r w:rsidRPr="007129DF">
        <w:rPr>
          <w:rFonts w:ascii="Times New Roman" w:hAnsi="Times New Roman" w:cs="Times New Roman"/>
          <w:color w:val="4C4C4C"/>
          <w:sz w:val="24"/>
          <w:szCs w:val="24"/>
          <w:shd w:val="clear" w:color="auto" w:fill="FFFFFF"/>
        </w:rPr>
        <w:t>, 39 µm, 45%, 700–1120 dB/cm, −9750 RIU</w:t>
      </w:r>
      <w:r w:rsidRPr="007129DF">
        <w:rPr>
          <w:rFonts w:ascii="Times New Roman" w:hAnsi="Times New Roman" w:cs="Times New Roman"/>
          <w:color w:val="4C4C4C"/>
          <w:sz w:val="24"/>
          <w:szCs w:val="24"/>
          <w:shd w:val="clear" w:color="auto" w:fill="FFFFFF"/>
          <w:vertAlign w:val="superscript"/>
        </w:rPr>
        <w:t>−1</w:t>
      </w:r>
      <w:r w:rsidRPr="007129DF">
        <w:rPr>
          <w:rFonts w:ascii="Times New Roman" w:hAnsi="Times New Roman" w:cs="Times New Roman"/>
          <w:color w:val="4C4C4C"/>
          <w:sz w:val="24"/>
          <w:szCs w:val="24"/>
          <w:shd w:val="clear" w:color="auto" w:fill="FFFFFF"/>
        </w:rPr>
        <w:t>, 52,941.17 nm/RIU, 9.32 × 10</w:t>
      </w:r>
      <w:r w:rsidRPr="007129DF">
        <w:rPr>
          <w:rFonts w:ascii="Times New Roman" w:hAnsi="Times New Roman" w:cs="Times New Roman"/>
          <w:color w:val="4C4C4C"/>
          <w:sz w:val="24"/>
          <w:szCs w:val="24"/>
          <w:shd w:val="clear" w:color="auto" w:fill="FFFFFF"/>
          <w:vertAlign w:val="superscript"/>
        </w:rPr>
        <w:t>−4</w:t>
      </w:r>
      <w:r w:rsidRPr="007129DF">
        <w:rPr>
          <w:rFonts w:ascii="Times New Roman" w:hAnsi="Times New Roman" w:cs="Times New Roman"/>
          <w:color w:val="4C4C4C"/>
          <w:sz w:val="24"/>
          <w:szCs w:val="24"/>
          <w:shd w:val="clear" w:color="auto" w:fill="FFFFFF"/>
        </w:rPr>
        <w:t> RIU, 178 dB, 210 dB/RIU, 93.5%, 1210, and 0.97029, respectively, confirming that the SPR-PCF sensor is the first appropriate option for measurement of the adulteration of fossil fuels or crude oils.</w:t>
      </w:r>
    </w:p>
    <w:p w:rsidR="007129DF" w:rsidRPr="007129DF" w:rsidRDefault="007129DF" w:rsidP="007129DF">
      <w:pPr>
        <w:shd w:val="clear" w:color="auto" w:fill="FCFCFC"/>
        <w:spacing w:before="100" w:beforeAutospacing="1" w:after="100" w:afterAutospacing="1" w:line="240" w:lineRule="auto"/>
        <w:rPr>
          <w:rFonts w:ascii="Times New Roman" w:hAnsi="Times New Roman" w:cs="Times New Roman"/>
          <w:color w:val="333333"/>
          <w:sz w:val="24"/>
          <w:szCs w:val="24"/>
          <w:shd w:val="clear" w:color="auto" w:fill="FCFCFC"/>
        </w:rPr>
      </w:pPr>
      <w:r w:rsidRPr="007129DF">
        <w:rPr>
          <w:rFonts w:ascii="Times New Roman" w:hAnsi="Times New Roman" w:cs="Times New Roman"/>
          <w:b/>
          <w:bCs/>
          <w:color w:val="4C4C4C"/>
          <w:sz w:val="24"/>
          <w:szCs w:val="24"/>
          <w:shd w:val="clear" w:color="auto" w:fill="FFFFFF"/>
        </w:rPr>
        <w:t>Keywords</w:t>
      </w:r>
      <w:r w:rsidRPr="007129DF">
        <w:rPr>
          <w:rFonts w:ascii="Times New Roman" w:hAnsi="Times New Roman" w:cs="Times New Roman"/>
          <w:b/>
          <w:bCs/>
          <w:color w:val="4C4C4C"/>
          <w:sz w:val="24"/>
          <w:szCs w:val="24"/>
          <w:shd w:val="clear" w:color="auto" w:fill="FFFFFF"/>
        </w:rPr>
        <w:t xml:space="preserve">: </w:t>
      </w:r>
      <w:r w:rsidRPr="007129DF">
        <w:rPr>
          <w:rFonts w:ascii="Times New Roman" w:hAnsi="Times New Roman" w:cs="Times New Roman"/>
          <w:color w:val="333333"/>
          <w:sz w:val="24"/>
          <w:szCs w:val="24"/>
          <w:shd w:val="clear" w:color="auto" w:fill="FCFCFC"/>
        </w:rPr>
        <w:t>photonic crystal fiber</w:t>
      </w:r>
      <w:r w:rsidRPr="007129DF">
        <w:rPr>
          <w:rFonts w:ascii="Times New Roman" w:hAnsi="Times New Roman" w:cs="Times New Roman"/>
          <w:color w:val="333333"/>
          <w:sz w:val="24"/>
          <w:szCs w:val="24"/>
          <w:shd w:val="clear" w:color="auto" w:fill="FCFCFC"/>
        </w:rPr>
        <w:t xml:space="preserve">, </w:t>
      </w:r>
      <w:r w:rsidRPr="007129DF">
        <w:rPr>
          <w:rFonts w:ascii="Times New Roman" w:hAnsi="Times New Roman" w:cs="Times New Roman"/>
          <w:color w:val="333333"/>
          <w:sz w:val="24"/>
          <w:szCs w:val="24"/>
          <w:shd w:val="clear" w:color="auto" w:fill="FCFCFC"/>
        </w:rPr>
        <w:t>environmental monitoring</w:t>
      </w:r>
      <w:r w:rsidRPr="007129DF">
        <w:rPr>
          <w:rFonts w:ascii="Times New Roman" w:hAnsi="Times New Roman" w:cs="Times New Roman"/>
          <w:color w:val="333333"/>
          <w:sz w:val="24"/>
          <w:szCs w:val="24"/>
          <w:shd w:val="clear" w:color="auto" w:fill="FCFCFC"/>
        </w:rPr>
        <w:t xml:space="preserve">, </w:t>
      </w:r>
      <w:r w:rsidRPr="007129DF">
        <w:rPr>
          <w:rFonts w:ascii="Times New Roman" w:hAnsi="Times New Roman" w:cs="Times New Roman"/>
          <w:color w:val="333333"/>
          <w:sz w:val="24"/>
          <w:szCs w:val="24"/>
          <w:shd w:val="clear" w:color="auto" w:fill="FCFCFC"/>
        </w:rPr>
        <w:t xml:space="preserve">Surface </w:t>
      </w:r>
      <w:proofErr w:type="spellStart"/>
      <w:r w:rsidRPr="007129DF">
        <w:rPr>
          <w:rFonts w:ascii="Times New Roman" w:hAnsi="Times New Roman" w:cs="Times New Roman"/>
          <w:color w:val="333333"/>
          <w:sz w:val="24"/>
          <w:szCs w:val="24"/>
          <w:shd w:val="clear" w:color="auto" w:fill="FCFCFC"/>
        </w:rPr>
        <w:t>plasmon</w:t>
      </w:r>
      <w:proofErr w:type="spellEnd"/>
      <w:r w:rsidRPr="007129DF">
        <w:rPr>
          <w:rFonts w:ascii="Times New Roman" w:hAnsi="Times New Roman" w:cs="Times New Roman"/>
          <w:color w:val="333333"/>
          <w:sz w:val="24"/>
          <w:szCs w:val="24"/>
          <w:shd w:val="clear" w:color="auto" w:fill="FCFCFC"/>
        </w:rPr>
        <w:t xml:space="preserve">, </w:t>
      </w:r>
      <w:r w:rsidRPr="007129DF">
        <w:rPr>
          <w:rFonts w:ascii="Times New Roman" w:hAnsi="Times New Roman" w:cs="Times New Roman"/>
          <w:color w:val="333333"/>
          <w:sz w:val="24"/>
          <w:szCs w:val="24"/>
          <w:shd w:val="clear" w:color="auto" w:fill="FCFCFC"/>
        </w:rPr>
        <w:t>electrochemical effects</w:t>
      </w:r>
    </w:p>
    <w:p w:rsidR="007129DF" w:rsidRPr="007129DF" w:rsidRDefault="007129DF" w:rsidP="007129DF">
      <w:pPr>
        <w:shd w:val="clear" w:color="auto" w:fill="FCFCFC"/>
        <w:spacing w:before="100" w:beforeAutospacing="1" w:after="100" w:afterAutospacing="1" w:line="240" w:lineRule="auto"/>
        <w:rPr>
          <w:rFonts w:ascii="Times New Roman" w:hAnsi="Times New Roman" w:cs="Times New Roman"/>
          <w:b/>
          <w:bCs/>
          <w:color w:val="4C4C4C"/>
          <w:sz w:val="24"/>
          <w:szCs w:val="24"/>
          <w:shd w:val="clear" w:color="auto" w:fill="FFFFFF"/>
        </w:rPr>
      </w:pPr>
      <w:r w:rsidRPr="007129DF">
        <w:rPr>
          <w:rFonts w:ascii="Times New Roman" w:hAnsi="Times New Roman" w:cs="Times New Roman"/>
          <w:b/>
          <w:bCs/>
          <w:color w:val="4C4C4C"/>
          <w:sz w:val="24"/>
          <w:szCs w:val="24"/>
          <w:shd w:val="clear" w:color="auto" w:fill="FFFFFF"/>
        </w:rPr>
        <w:t>Conference / Journal Link</w:t>
      </w:r>
    </w:p>
    <w:bookmarkStart w:id="1" w:name="cj_link"/>
    <w:p w:rsidR="007129DF" w:rsidRPr="007129DF" w:rsidRDefault="007129DF" w:rsidP="007129DF">
      <w:pPr>
        <w:shd w:val="clear" w:color="auto" w:fill="FCFCFC"/>
        <w:spacing w:before="100" w:beforeAutospacing="1" w:after="100" w:afterAutospacing="1" w:line="240" w:lineRule="auto"/>
        <w:rPr>
          <w:rFonts w:ascii="Times New Roman" w:eastAsia="Times New Roman" w:hAnsi="Times New Roman" w:cs="Times New Roman"/>
          <w:sz w:val="24"/>
          <w:szCs w:val="24"/>
        </w:rPr>
      </w:pPr>
      <w:r w:rsidRPr="007129DF">
        <w:rPr>
          <w:rFonts w:ascii="Times New Roman" w:hAnsi="Times New Roman" w:cs="Times New Roman"/>
          <w:sz w:val="24"/>
          <w:szCs w:val="24"/>
        </w:rPr>
        <w:fldChar w:fldCharType="begin"/>
      </w:r>
      <w:r w:rsidRPr="007129DF">
        <w:rPr>
          <w:rFonts w:ascii="Times New Roman" w:hAnsi="Times New Roman" w:cs="Times New Roman"/>
          <w:sz w:val="24"/>
          <w:szCs w:val="24"/>
        </w:rPr>
        <w:instrText xml:space="preserve"> HYPERLINK "https://link.springer.com/article/10.1007/s10825-019-01434-z" \t "_blank" </w:instrText>
      </w:r>
      <w:r w:rsidRPr="007129DF">
        <w:rPr>
          <w:rFonts w:ascii="Times New Roman" w:hAnsi="Times New Roman" w:cs="Times New Roman"/>
          <w:sz w:val="24"/>
          <w:szCs w:val="24"/>
        </w:rPr>
        <w:fldChar w:fldCharType="separate"/>
      </w:r>
      <w:r w:rsidRPr="007129DF">
        <w:rPr>
          <w:rStyle w:val="Hyperlink"/>
          <w:rFonts w:ascii="Times New Roman" w:hAnsi="Times New Roman" w:cs="Times New Roman"/>
          <w:color w:val="424242"/>
          <w:sz w:val="24"/>
          <w:szCs w:val="24"/>
          <w:u w:val="none"/>
          <w:shd w:val="clear" w:color="auto" w:fill="FFFFFF"/>
        </w:rPr>
        <w:t>https://link.springer.com/article/10.1007/s10825-019-01434-z</w:t>
      </w:r>
      <w:r w:rsidRPr="007129DF">
        <w:rPr>
          <w:rFonts w:ascii="Times New Roman" w:hAnsi="Times New Roman" w:cs="Times New Roman"/>
          <w:sz w:val="24"/>
          <w:szCs w:val="24"/>
        </w:rPr>
        <w:fldChar w:fldCharType="end"/>
      </w:r>
      <w:bookmarkEnd w:id="1"/>
    </w:p>
    <w:p w:rsidR="007129DF" w:rsidRPr="007129DF" w:rsidRDefault="007129DF" w:rsidP="007129DF">
      <w:pPr>
        <w:shd w:val="clear" w:color="auto" w:fill="FCFCFC"/>
        <w:spacing w:before="100" w:beforeAutospacing="1" w:after="100" w:afterAutospacing="1" w:line="240" w:lineRule="auto"/>
        <w:ind w:left="720"/>
        <w:rPr>
          <w:rFonts w:ascii="Times New Roman" w:eastAsia="Times New Roman" w:hAnsi="Times New Roman" w:cs="Times New Roman"/>
          <w:color w:val="333333"/>
          <w:sz w:val="24"/>
          <w:szCs w:val="24"/>
        </w:rPr>
      </w:pPr>
    </w:p>
    <w:p w:rsidR="007129DF" w:rsidRPr="007129DF" w:rsidRDefault="007129DF" w:rsidP="007129DF">
      <w:pPr>
        <w:shd w:val="clear" w:color="auto" w:fill="FCFCFC"/>
        <w:spacing w:before="100" w:beforeAutospacing="1" w:after="100" w:afterAutospacing="1" w:line="240" w:lineRule="auto"/>
        <w:rPr>
          <w:rFonts w:ascii="Segoe UI" w:eastAsia="Times New Roman" w:hAnsi="Segoe UI" w:cs="Segoe UI"/>
          <w:color w:val="333333"/>
          <w:sz w:val="24"/>
          <w:szCs w:val="24"/>
        </w:rPr>
      </w:pPr>
    </w:p>
    <w:p w:rsidR="007129DF" w:rsidRDefault="007129DF"/>
    <w:sectPr w:rsidR="007129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7779E4"/>
    <w:multiLevelType w:val="multilevel"/>
    <w:tmpl w:val="FB160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68B164E"/>
    <w:multiLevelType w:val="multilevel"/>
    <w:tmpl w:val="A14ED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3C6FC4"/>
    <w:multiLevelType w:val="multilevel"/>
    <w:tmpl w:val="F6EC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9DF"/>
    <w:rsid w:val="00043A8B"/>
    <w:rsid w:val="006E4D4E"/>
    <w:rsid w:val="00712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C74F5A-B2F4-4921-8E3F-6EF1679C3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129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819007">
      <w:bodyDiv w:val="1"/>
      <w:marLeft w:val="0"/>
      <w:marRight w:val="0"/>
      <w:marTop w:val="0"/>
      <w:marBottom w:val="0"/>
      <w:divBdr>
        <w:top w:val="none" w:sz="0" w:space="0" w:color="auto"/>
        <w:left w:val="none" w:sz="0" w:space="0" w:color="auto"/>
        <w:bottom w:val="none" w:sz="0" w:space="0" w:color="auto"/>
        <w:right w:val="none" w:sz="0" w:space="0" w:color="auto"/>
      </w:divBdr>
    </w:div>
    <w:div w:id="1160198070">
      <w:bodyDiv w:val="1"/>
      <w:marLeft w:val="0"/>
      <w:marRight w:val="0"/>
      <w:marTop w:val="0"/>
      <w:marBottom w:val="0"/>
      <w:divBdr>
        <w:top w:val="none" w:sz="0" w:space="0" w:color="auto"/>
        <w:left w:val="none" w:sz="0" w:space="0" w:color="auto"/>
        <w:bottom w:val="none" w:sz="0" w:space="0" w:color="auto"/>
        <w:right w:val="none" w:sz="0" w:space="0" w:color="auto"/>
      </w:divBdr>
    </w:div>
    <w:div w:id="1311397666">
      <w:bodyDiv w:val="1"/>
      <w:marLeft w:val="0"/>
      <w:marRight w:val="0"/>
      <w:marTop w:val="0"/>
      <w:marBottom w:val="0"/>
      <w:divBdr>
        <w:top w:val="none" w:sz="0" w:space="0" w:color="auto"/>
        <w:left w:val="none" w:sz="0" w:space="0" w:color="auto"/>
        <w:bottom w:val="none" w:sz="0" w:space="0" w:color="auto"/>
        <w:right w:val="none" w:sz="0" w:space="0" w:color="auto"/>
      </w:divBdr>
    </w:div>
    <w:div w:id="156768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springer.com/article/10.1007/s10825-019-01434-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0825-019-01434-z" TargetMode="External"/><Relationship Id="rId5" Type="http://schemas.openxmlformats.org/officeDocument/2006/relationships/hyperlink" Target="https://link.springer.com/article/10.1007/s10825-019-01434-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2021-11-09T23:19:00Z</dcterms:created>
  <dcterms:modified xsi:type="dcterms:W3CDTF">2021-11-09T23:32:00Z</dcterms:modified>
</cp:coreProperties>
</file>