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9D7" w:rsidRPr="00956084" w:rsidRDefault="001343EE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956084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The Fabrication and Evaluation of a Potential Biomaterial Produced with Stem Cell Sheet Technology for </w:t>
      </w:r>
      <w:bookmarkStart w:id="0" w:name="_GoBack"/>
      <w:bookmarkEnd w:id="0"/>
      <w:r w:rsidRPr="00956084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Future Regenerative Medicine</w:t>
      </w:r>
    </w:p>
    <w:p w:rsidR="001343EE" w:rsidRPr="00956084" w:rsidRDefault="001343E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Shukui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Zhou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>Ying Wang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Kaile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Zhang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Nailong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Cao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Ranxing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Yang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Jianwen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Huang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Weixin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Zhao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color w:val="000000"/>
          <w:sz w:val="24"/>
          <w:szCs w:val="24"/>
        </w:rPr>
        <w:t>Mahbubur</w:t>
      </w:r>
      <w:proofErr w:type="spellEnd"/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 Rahman</w:t>
      </w:r>
      <w:r w:rsidRPr="0095608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56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Hong Liao</w:t>
      </w:r>
      <w:r w:rsidRPr="00956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956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Qiang</w:t>
      </w:r>
      <w:proofErr w:type="spellEnd"/>
      <w:r w:rsidRPr="00956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Fu</w:t>
      </w:r>
    </w:p>
    <w:p w:rsidR="001343EE" w:rsidRPr="00956084" w:rsidRDefault="001343EE" w:rsidP="0095608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1343EE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1343EE" w:rsidRPr="00956084" w:rsidRDefault="001343EE" w:rsidP="00956084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To date, the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scaffold has been widely explored as a source of biological scaffolds for regenerative medicine. However, the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acellular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matrix derived from natural tissues and organs has a lot of defects, including the limited amount of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autogenous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tissue and surgical complication such as risk of blood loss, wound infection, pain, shock, and functional damage in the donor part of the body. In this study, we prepared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acellular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matrix using adipose-derived stem cell (ADSC) sheets and evaluate the cellular compatibility and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immunoreactivity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. The ADSC sheets were fabricated and subsequently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using repeated freeze-thaw, Triton X-100 and SDS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decellularization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. Oral mucosal epithelial cells were seeded onto the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ADSC sheets to evaluate the cell replantation ability, and silk fibroin was used as the control. Then,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acellular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matrix was transplanted onto subcutaneous tissue for 1 week or 3 weeks; H&amp;E staining and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immunohistochemical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analysis of CD68 expression and quantitative real-time PCR (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qPCR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) were performed to evaluate the immunogenicity and biocompatibility. The ADSC sheet-derived ECM scaffolds preserved the three-dimensional architecture of ECM and retained the cytokines by Triton X-100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decellularization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protocols. Compared with silk fibroin in vitro, the oral mucosal epithelial cells survived better on the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ADSC sheets with an intact and consecutive epidermal cellular layer. Compared with porcine small intestinal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submucosa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(SIS) in vivo, the homogeneous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ADSC sheets had less monocyte-macrophage infiltrating in vivo implantation. During 3 weeks after transplantation, the mRNA expression of cytokines, such as IL-4/IL-10, was obviously higher in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ADSC sheets than that of porcine SIS. A Triton X-100 method can achieve effective cell removal, retain major ECM components, and preserve the ultrastructure of ADSC sheets. The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ADSC sheets possess good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recellularization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capacity and excellent biocompatibility. This study demonstrated the potential suitability of utilizing </w:t>
      </w:r>
      <w:proofErr w:type="spellStart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acellular</w:t>
      </w:r>
      <w:proofErr w:type="spellEnd"/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matrix from ADSC sheets for soft tissue regeneration and repair.</w:t>
      </w:r>
    </w:p>
    <w:p w:rsidR="001343EE" w:rsidRPr="00956084" w:rsidRDefault="001343EE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="00956084"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biological scaffolds</w:t>
      </w:r>
      <w:r w:rsidR="00956084"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, </w:t>
      </w:r>
      <w:proofErr w:type="spellStart"/>
      <w:r w:rsidR="00956084"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decellularized</w:t>
      </w:r>
      <w:proofErr w:type="spellEnd"/>
      <w:r w:rsidR="00956084"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, </w:t>
      </w:r>
      <w:proofErr w:type="spellStart"/>
      <w:r w:rsidR="00956084"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immunohistochemical</w:t>
      </w:r>
      <w:proofErr w:type="spellEnd"/>
    </w:p>
    <w:p w:rsidR="00956084" w:rsidRPr="00956084" w:rsidRDefault="00956084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5608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956084" w:rsidRDefault="00956084">
      <w:r w:rsidRPr="00956084">
        <w:rPr>
          <w:rFonts w:ascii="Times New Roman" w:hAnsi="Times New Roman" w:cs="Times New Roman"/>
          <w:sz w:val="24"/>
          <w:szCs w:val="24"/>
        </w:rPr>
        <w:fldChar w:fldCharType="begin"/>
      </w:r>
      <w:r w:rsidRPr="00956084">
        <w:rPr>
          <w:rFonts w:ascii="Times New Roman" w:hAnsi="Times New Roman" w:cs="Times New Roman"/>
          <w:sz w:val="24"/>
          <w:szCs w:val="24"/>
        </w:rPr>
        <w:instrText xml:space="preserve"> HYPERLINK "https://www.hindawi.com/journals/sci/2020/9567362/" \t "_blank" </w:instrText>
      </w:r>
      <w:r w:rsidRPr="00956084">
        <w:rPr>
          <w:rFonts w:ascii="Times New Roman" w:hAnsi="Times New Roman" w:cs="Times New Roman"/>
          <w:sz w:val="24"/>
          <w:szCs w:val="24"/>
        </w:rPr>
        <w:fldChar w:fldCharType="separate"/>
      </w:r>
      <w:r w:rsidRPr="00956084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https://www.hindawi.com/journals/sci/2020/9567362/</w:t>
      </w:r>
      <w:r w:rsidRPr="00956084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956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EE"/>
    <w:rsid w:val="001343EE"/>
    <w:rsid w:val="006A19D7"/>
    <w:rsid w:val="0095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12537B-04AF-45BC-9F9E-95C04071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6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9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2021-11-15T08:58:00Z</dcterms:created>
  <dcterms:modified xsi:type="dcterms:W3CDTF">2021-11-15T09:15:00Z</dcterms:modified>
</cp:coreProperties>
</file>