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BCA" w:rsidRPr="00ED1263" w:rsidRDefault="000122AB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r w:rsidRPr="00ED1263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Thermally Carbonized Porous Silicon for Robust Label-Free DNA Optical Sensing</w:t>
      </w:r>
      <w:bookmarkStart w:id="0" w:name="_GoBack"/>
      <w:bookmarkEnd w:id="0"/>
    </w:p>
    <w:p w:rsidR="000122AB" w:rsidRPr="000122AB" w:rsidRDefault="000122AB">
      <w:pP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proofErr w:type="spellStart"/>
      <w:r w:rsidRPr="000122A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Rabeb</w:t>
      </w:r>
      <w:proofErr w:type="spellEnd"/>
      <w:r w:rsidRPr="000122A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122A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Layouni</w:t>
      </w:r>
      <w:proofErr w:type="spellEnd"/>
      <w:r w:rsidRPr="000122A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0122A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Moinul</w:t>
      </w:r>
      <w:proofErr w:type="spellEnd"/>
      <w:r w:rsidRPr="000122A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H. Choudhury</w:t>
      </w:r>
      <w:r w:rsidRPr="000122A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</w:t>
      </w:r>
      <w:r w:rsidRPr="000122A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Paul E. </w:t>
      </w:r>
      <w:proofErr w:type="spellStart"/>
      <w:r w:rsidRPr="000122A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Laibinis</w:t>
      </w:r>
      <w:proofErr w:type="spellEnd"/>
      <w:r w:rsidRPr="000122A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</w:t>
      </w:r>
      <w:r w:rsidRPr="000122A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Sharon M. Weiss</w:t>
      </w:r>
    </w:p>
    <w:p w:rsidR="000122AB" w:rsidRPr="000122AB" w:rsidRDefault="000122AB" w:rsidP="000122A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0122AB">
        <w:rPr>
          <w:rFonts w:ascii="Times New Roman" w:eastAsia="Times New Roman" w:hAnsi="Times New Roman" w:cs="Times New Roman"/>
          <w:color w:val="4C4C4C"/>
          <w:sz w:val="24"/>
          <w:szCs w:val="24"/>
        </w:rPr>
        <w:t>Abstract</w:t>
      </w:r>
    </w:p>
    <w:p w:rsidR="000122AB" w:rsidRPr="000122AB" w:rsidRDefault="000122AB" w:rsidP="000122AB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In this work, thermal carbonization is shown to provide the necessary surface passivation to enable highly robust DNA detection on a porous silicon (</w:t>
      </w:r>
      <w:proofErr w:type="spellStart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PSi</w:t>
      </w:r>
      <w:proofErr w:type="spellEnd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) platform, overcoming previous corrosion challenges with detection of negatively charged biomolecules. The stability of thermally carbonized </w:t>
      </w:r>
      <w:proofErr w:type="spellStart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PSi</w:t>
      </w:r>
      <w:proofErr w:type="spellEnd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(</w:t>
      </w:r>
      <w:proofErr w:type="spellStart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TCPSi</w:t>
      </w:r>
      <w:proofErr w:type="spellEnd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), oxidized </w:t>
      </w:r>
      <w:proofErr w:type="spellStart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PSi</w:t>
      </w:r>
      <w:proofErr w:type="spellEnd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(</w:t>
      </w:r>
      <w:proofErr w:type="spellStart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OPSi</w:t>
      </w:r>
      <w:proofErr w:type="spellEnd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), and </w:t>
      </w:r>
      <w:proofErr w:type="spellStart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undecylenic</w:t>
      </w:r>
      <w:proofErr w:type="spellEnd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acid-modified </w:t>
      </w:r>
      <w:proofErr w:type="spellStart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PSi</w:t>
      </w:r>
      <w:proofErr w:type="spellEnd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(</w:t>
      </w:r>
      <w:proofErr w:type="spellStart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UAPSi</w:t>
      </w:r>
      <w:proofErr w:type="spellEnd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) is compared in phosphate-buffered saline and during DNA sensing experiments. Reflectance measurements reveal an improvement in stability and DNA sensor response for </w:t>
      </w:r>
      <w:proofErr w:type="spellStart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TCPSi</w:t>
      </w:r>
      <w:proofErr w:type="spellEnd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compared to </w:t>
      </w:r>
      <w:proofErr w:type="spellStart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OPSi</w:t>
      </w:r>
      <w:proofErr w:type="spellEnd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and </w:t>
      </w:r>
      <w:proofErr w:type="spellStart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UAPSi</w:t>
      </w:r>
      <w:proofErr w:type="spellEnd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. </w:t>
      </w:r>
      <w:proofErr w:type="spellStart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TCPSi</w:t>
      </w:r>
      <w:proofErr w:type="spellEnd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exhibits a large positive sensor response with &gt;90% DNA hybridization efficiency. In comparison, </w:t>
      </w:r>
      <w:proofErr w:type="spellStart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UAPSi</w:t>
      </w:r>
      <w:proofErr w:type="spellEnd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shows a smaller positive DNA sensor response, likely lessened by a small corrosion effect, while </w:t>
      </w:r>
      <w:proofErr w:type="spellStart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OPSi</w:t>
      </w:r>
      <w:proofErr w:type="spellEnd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exhibits a large negative sensor response, indicating significant induced </w:t>
      </w:r>
      <w:proofErr w:type="spellStart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PSi</w:t>
      </w:r>
      <w:proofErr w:type="spellEnd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corrosion that confounds the ability of </w:t>
      </w:r>
      <w:proofErr w:type="spellStart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OPSi</w:t>
      </w:r>
      <w:proofErr w:type="spellEnd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to yield meaningful readouts of DNA hybridization events. This work expands the application of </w:t>
      </w:r>
      <w:proofErr w:type="spellStart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TCPSi</w:t>
      </w:r>
      <w:proofErr w:type="spellEnd"/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for its more widespread usage in sensing applications where competing substrate corrosion may influence device stability.</w:t>
      </w:r>
    </w:p>
    <w:p w:rsidR="000122AB" w:rsidRPr="000122AB" w:rsidRDefault="000122AB">
      <w:pP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Keywords</w:t>
      </w:r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: </w:t>
      </w:r>
      <w:r w:rsidRPr="000122AB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thermal carbonization</w:t>
      </w:r>
      <w:proofErr w:type="gramStart"/>
      <w:r w:rsidRPr="000122AB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, </w:t>
      </w:r>
      <w:r w:rsidRPr="000122AB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porous</w:t>
      </w:r>
      <w:proofErr w:type="gramEnd"/>
      <w:r w:rsidRPr="000122AB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silicon</w:t>
      </w:r>
      <w:r w:rsidRPr="000122AB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, </w:t>
      </w:r>
      <w:r w:rsidRPr="000122AB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DNA</w:t>
      </w:r>
      <w:r w:rsidRPr="000122AB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, </w:t>
      </w:r>
      <w:r w:rsidRPr="000122AB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label-free </w:t>
      </w:r>
      <w:proofErr w:type="spellStart"/>
      <w:r w:rsidRPr="000122AB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biosensing</w:t>
      </w:r>
      <w:proofErr w:type="spellEnd"/>
      <w:r w:rsidRPr="000122AB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, </w:t>
      </w:r>
      <w:r w:rsidRPr="000122AB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corrosion</w:t>
      </w:r>
    </w:p>
    <w:p w:rsidR="000122AB" w:rsidRPr="000122AB" w:rsidRDefault="000122AB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0122AB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0122AB" w:rsidRPr="000122AB" w:rsidRDefault="000122AB">
      <w:pPr>
        <w:rPr>
          <w:rFonts w:ascii="Times New Roman" w:hAnsi="Times New Roman" w:cs="Times New Roman"/>
          <w:sz w:val="24"/>
          <w:szCs w:val="24"/>
        </w:rPr>
      </w:pPr>
      <w:r w:rsidRPr="000122AB">
        <w:rPr>
          <w:rFonts w:ascii="Times New Roman" w:hAnsi="Times New Roman" w:cs="Times New Roman"/>
          <w:sz w:val="24"/>
          <w:szCs w:val="24"/>
        </w:rPr>
        <w:fldChar w:fldCharType="begin"/>
      </w:r>
      <w:r w:rsidRPr="000122AB">
        <w:rPr>
          <w:rFonts w:ascii="Times New Roman" w:hAnsi="Times New Roman" w:cs="Times New Roman"/>
          <w:sz w:val="24"/>
          <w:szCs w:val="24"/>
        </w:rPr>
        <w:instrText xml:space="preserve"> HYPERLINK "https://pubs.acs.org/doi/10.1021/acsabm.9b01002" \t "_blank" </w:instrText>
      </w:r>
      <w:r w:rsidRPr="000122AB">
        <w:rPr>
          <w:rFonts w:ascii="Times New Roman" w:hAnsi="Times New Roman" w:cs="Times New Roman"/>
          <w:sz w:val="24"/>
          <w:szCs w:val="24"/>
        </w:rPr>
        <w:fldChar w:fldCharType="separate"/>
      </w:r>
      <w:r w:rsidRPr="000122AB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https://pubs.acs.org/doi/10.1021/acsabm.9b01002</w:t>
      </w:r>
      <w:r w:rsidRPr="000122AB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p w:rsidR="000122AB" w:rsidRDefault="000122AB"/>
    <w:sectPr w:rsidR="000122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2AB"/>
    <w:rsid w:val="000122AB"/>
    <w:rsid w:val="00626BCA"/>
    <w:rsid w:val="00ED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DDAFB3-C181-4E0A-82A7-4755B71E1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122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5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2021-11-21T06:34:00Z</dcterms:created>
  <dcterms:modified xsi:type="dcterms:W3CDTF">2021-11-21T06:45:00Z</dcterms:modified>
</cp:coreProperties>
</file>