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6520" w:rsidRPr="00856520" w:rsidRDefault="00856520" w:rsidP="000A4FD4">
      <w:pPr>
        <w:jc w:val="both"/>
        <w:rPr>
          <w:rFonts w:ascii="Times New Roman" w:hAnsi="Times New Roman" w:cs="Times New Roman"/>
          <w:b/>
          <w:sz w:val="44"/>
          <w:szCs w:val="44"/>
        </w:rPr>
      </w:pPr>
      <w:bookmarkStart w:id="0" w:name="_GoBack"/>
      <w:r w:rsidRPr="00856520">
        <w:rPr>
          <w:rFonts w:ascii="Times New Roman" w:hAnsi="Times New Roman" w:cs="Times New Roman"/>
          <w:b/>
          <w:sz w:val="44"/>
          <w:szCs w:val="44"/>
        </w:rPr>
        <w:t>Strategic Handout of Economic Sides to Economic Extension in Bangladesh: An ARDL Bound Test Approach</w:t>
      </w:r>
    </w:p>
    <w:p w:rsidR="006972BD" w:rsidRPr="00856520" w:rsidRDefault="00856520" w:rsidP="000A4FD4">
      <w:pPr>
        <w:jc w:val="both"/>
        <w:rPr>
          <w:rFonts w:ascii="Times New Roman" w:hAnsi="Times New Roman" w:cs="Times New Roman"/>
          <w:color w:val="2E74B5" w:themeColor="accent1" w:themeShade="BF"/>
          <w:sz w:val="24"/>
          <w:szCs w:val="24"/>
        </w:rPr>
      </w:pPr>
      <w:proofErr w:type="spellStart"/>
      <w:r w:rsidRPr="00856520">
        <w:rPr>
          <w:rFonts w:ascii="Times New Roman" w:hAnsi="Times New Roman" w:cs="Times New Roman"/>
          <w:color w:val="2E74B5" w:themeColor="accent1" w:themeShade="BF"/>
          <w:sz w:val="24"/>
          <w:szCs w:val="24"/>
        </w:rPr>
        <w:t>Shanjida</w:t>
      </w:r>
      <w:proofErr w:type="spellEnd"/>
      <w:r w:rsidRPr="00856520">
        <w:rPr>
          <w:rFonts w:ascii="Times New Roman" w:hAnsi="Times New Roman" w:cs="Times New Roman"/>
          <w:color w:val="2E74B5" w:themeColor="accent1" w:themeShade="BF"/>
          <w:sz w:val="24"/>
          <w:szCs w:val="24"/>
        </w:rPr>
        <w:t xml:space="preserve"> Chowdhury, </w:t>
      </w:r>
      <w:proofErr w:type="spellStart"/>
      <w:r w:rsidRPr="00856520">
        <w:rPr>
          <w:rFonts w:ascii="Times New Roman" w:hAnsi="Times New Roman" w:cs="Times New Roman"/>
          <w:color w:val="2E74B5" w:themeColor="accent1" w:themeShade="BF"/>
          <w:sz w:val="24"/>
          <w:szCs w:val="24"/>
        </w:rPr>
        <w:t>Afrina</w:t>
      </w:r>
      <w:proofErr w:type="spellEnd"/>
      <w:r w:rsidRPr="00856520">
        <w:rPr>
          <w:rFonts w:ascii="Times New Roman" w:hAnsi="Times New Roman" w:cs="Times New Roman"/>
          <w:color w:val="2E74B5" w:themeColor="accent1" w:themeShade="BF"/>
          <w:sz w:val="24"/>
          <w:szCs w:val="24"/>
        </w:rPr>
        <w:t xml:space="preserve"> </w:t>
      </w:r>
      <w:proofErr w:type="spellStart"/>
      <w:r w:rsidRPr="00856520">
        <w:rPr>
          <w:rFonts w:ascii="Times New Roman" w:hAnsi="Times New Roman" w:cs="Times New Roman"/>
          <w:color w:val="2E74B5" w:themeColor="accent1" w:themeShade="BF"/>
          <w:sz w:val="24"/>
          <w:szCs w:val="24"/>
        </w:rPr>
        <w:t>Akter</w:t>
      </w:r>
      <w:proofErr w:type="spellEnd"/>
      <w:r w:rsidRPr="00856520">
        <w:rPr>
          <w:rFonts w:ascii="Times New Roman" w:hAnsi="Times New Roman" w:cs="Times New Roman"/>
          <w:color w:val="2E74B5" w:themeColor="accent1" w:themeShade="BF"/>
          <w:sz w:val="24"/>
          <w:szCs w:val="24"/>
        </w:rPr>
        <w:t xml:space="preserve"> </w:t>
      </w:r>
      <w:proofErr w:type="spellStart"/>
      <w:r w:rsidRPr="00856520">
        <w:rPr>
          <w:rFonts w:ascii="Times New Roman" w:hAnsi="Times New Roman" w:cs="Times New Roman"/>
          <w:color w:val="2E74B5" w:themeColor="accent1" w:themeShade="BF"/>
          <w:sz w:val="24"/>
          <w:szCs w:val="24"/>
        </w:rPr>
        <w:t>Mishu</w:t>
      </w:r>
      <w:proofErr w:type="spellEnd"/>
      <w:r w:rsidRPr="00856520">
        <w:rPr>
          <w:rFonts w:ascii="Times New Roman" w:hAnsi="Times New Roman" w:cs="Times New Roman"/>
          <w:color w:val="2E74B5" w:themeColor="accent1" w:themeShade="BF"/>
          <w:sz w:val="24"/>
          <w:szCs w:val="24"/>
        </w:rPr>
        <w:t xml:space="preserve">, Nasir Uddin, Sara </w:t>
      </w:r>
      <w:proofErr w:type="spellStart"/>
      <w:r w:rsidRPr="00856520">
        <w:rPr>
          <w:rFonts w:ascii="Times New Roman" w:hAnsi="Times New Roman" w:cs="Times New Roman"/>
          <w:color w:val="2E74B5" w:themeColor="accent1" w:themeShade="BF"/>
          <w:sz w:val="24"/>
          <w:szCs w:val="24"/>
        </w:rPr>
        <w:t>Tasneem</w:t>
      </w:r>
      <w:proofErr w:type="spellEnd"/>
      <w:r w:rsidRPr="00856520">
        <w:rPr>
          <w:rFonts w:ascii="Times New Roman" w:hAnsi="Times New Roman" w:cs="Times New Roman"/>
          <w:color w:val="2E74B5" w:themeColor="accent1" w:themeShade="BF"/>
          <w:sz w:val="24"/>
          <w:szCs w:val="24"/>
        </w:rPr>
        <w:t xml:space="preserve">, </w:t>
      </w:r>
      <w:proofErr w:type="spellStart"/>
      <w:r w:rsidRPr="00856520">
        <w:rPr>
          <w:rFonts w:ascii="Times New Roman" w:hAnsi="Times New Roman" w:cs="Times New Roman"/>
          <w:color w:val="2E74B5" w:themeColor="accent1" w:themeShade="BF"/>
          <w:sz w:val="24"/>
          <w:szCs w:val="24"/>
        </w:rPr>
        <w:t>Nurul</w:t>
      </w:r>
      <w:proofErr w:type="spellEnd"/>
      <w:r w:rsidRPr="00856520">
        <w:rPr>
          <w:rFonts w:ascii="Times New Roman" w:hAnsi="Times New Roman" w:cs="Times New Roman"/>
          <w:color w:val="2E74B5" w:themeColor="accent1" w:themeShade="BF"/>
          <w:sz w:val="24"/>
          <w:szCs w:val="24"/>
        </w:rPr>
        <w:t xml:space="preserve"> Mohammad </w:t>
      </w:r>
      <w:proofErr w:type="spellStart"/>
      <w:r w:rsidRPr="00856520">
        <w:rPr>
          <w:rFonts w:ascii="Times New Roman" w:hAnsi="Times New Roman" w:cs="Times New Roman"/>
          <w:color w:val="2E74B5" w:themeColor="accent1" w:themeShade="BF"/>
          <w:sz w:val="24"/>
          <w:szCs w:val="24"/>
        </w:rPr>
        <w:t>Zayed</w:t>
      </w:r>
      <w:proofErr w:type="spellEnd"/>
    </w:p>
    <w:p w:rsidR="00856520" w:rsidRPr="00856520" w:rsidRDefault="00856520" w:rsidP="000A4FD4">
      <w:pPr>
        <w:spacing w:after="0" w:line="276" w:lineRule="auto"/>
        <w:jc w:val="both"/>
        <w:rPr>
          <w:rFonts w:ascii="Times New Roman" w:hAnsi="Times New Roman" w:cs="Times New Roman"/>
          <w:b/>
          <w:sz w:val="24"/>
          <w:szCs w:val="24"/>
        </w:rPr>
      </w:pPr>
      <w:r w:rsidRPr="00856520">
        <w:rPr>
          <w:rFonts w:ascii="Times New Roman" w:hAnsi="Times New Roman" w:cs="Times New Roman"/>
          <w:b/>
          <w:sz w:val="24"/>
          <w:szCs w:val="24"/>
        </w:rPr>
        <w:t>Abstract:</w:t>
      </w:r>
    </w:p>
    <w:p w:rsidR="00856520" w:rsidRPr="00856520" w:rsidRDefault="00856520" w:rsidP="000A4FD4">
      <w:pPr>
        <w:jc w:val="both"/>
        <w:rPr>
          <w:rFonts w:ascii="Times New Roman" w:hAnsi="Times New Roman" w:cs="Times New Roman"/>
          <w:sz w:val="24"/>
          <w:szCs w:val="24"/>
        </w:rPr>
      </w:pPr>
      <w:r w:rsidRPr="00856520">
        <w:rPr>
          <w:rFonts w:ascii="Times New Roman" w:hAnsi="Times New Roman" w:cs="Times New Roman"/>
          <w:sz w:val="24"/>
          <w:szCs w:val="24"/>
        </w:rPr>
        <w:t>Agriculture, manufacturing and service sectors are the major components of the economic growth for any country. This study examines the contribution of agriculture, manufacturing, and services sectors to the economic growth in Bangladesh. The time series data stationary at first difference are shown by the ADF and PP unit root tests. Subsequently, an indication that each economic sector has a strong co-integrating relationship among variables is analyzed through the co-integration. In the long run model, agriculture and service sector converge with GDP but in a negative direction and ECM term converges significantly. Long run coefficient although reveal negative but short run coefficient stimulates economic vehicle. So, this study may create a pipeline for policymakers as well as investors.</w:t>
      </w:r>
    </w:p>
    <w:bookmarkEnd w:id="0"/>
    <w:p w:rsidR="00856520" w:rsidRPr="00856520" w:rsidRDefault="00856520" w:rsidP="00856520">
      <w:pPr>
        <w:spacing w:after="0" w:line="276" w:lineRule="auto"/>
        <w:rPr>
          <w:rFonts w:ascii="Times New Roman" w:hAnsi="Times New Roman" w:cs="Times New Roman"/>
          <w:b/>
          <w:sz w:val="24"/>
          <w:szCs w:val="24"/>
        </w:rPr>
      </w:pPr>
      <w:r w:rsidRPr="00856520">
        <w:rPr>
          <w:rFonts w:ascii="Times New Roman" w:hAnsi="Times New Roman" w:cs="Times New Roman"/>
          <w:b/>
          <w:sz w:val="24"/>
          <w:szCs w:val="24"/>
        </w:rPr>
        <w:t>Conference / Journal Link:</w:t>
      </w:r>
    </w:p>
    <w:p w:rsidR="00856520" w:rsidRPr="00856520" w:rsidRDefault="000A4FD4" w:rsidP="00856520">
      <w:pPr>
        <w:rPr>
          <w:rFonts w:ascii="Times New Roman" w:hAnsi="Times New Roman" w:cs="Times New Roman"/>
          <w:sz w:val="24"/>
          <w:szCs w:val="24"/>
        </w:rPr>
      </w:pPr>
      <w:hyperlink r:id="rId4" w:history="1">
        <w:r w:rsidR="00856520" w:rsidRPr="00856520">
          <w:rPr>
            <w:rStyle w:val="Hyperlink"/>
            <w:rFonts w:ascii="Times New Roman" w:hAnsi="Times New Roman" w:cs="Times New Roman"/>
            <w:sz w:val="24"/>
            <w:szCs w:val="24"/>
          </w:rPr>
          <w:t>https://www.abacademies.org/articles/strategic-handout-of-economic-sides-to-economic-extension-in-bangladesh-an-ardl-bound-test-approach-8376.html</w:t>
        </w:r>
      </w:hyperlink>
    </w:p>
    <w:p w:rsidR="00856520" w:rsidRDefault="00856520"/>
    <w:sectPr w:rsidR="008565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520"/>
    <w:rsid w:val="000A4FD4"/>
    <w:rsid w:val="006972BD"/>
    <w:rsid w:val="008565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F6C838-530E-4618-95BC-E0DB7CA74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5652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85652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6520"/>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856520"/>
    <w:rPr>
      <w:b/>
      <w:bCs/>
    </w:rPr>
  </w:style>
  <w:style w:type="character" w:customStyle="1" w:styleId="Heading3Char">
    <w:name w:val="Heading 3 Char"/>
    <w:basedOn w:val="DefaultParagraphFont"/>
    <w:link w:val="Heading3"/>
    <w:uiPriority w:val="9"/>
    <w:semiHidden/>
    <w:rsid w:val="00856520"/>
    <w:rPr>
      <w:rFonts w:asciiTheme="majorHAnsi" w:eastAsiaTheme="majorEastAsia" w:hAnsiTheme="majorHAnsi" w:cstheme="majorBidi"/>
      <w:color w:val="1F4D78" w:themeColor="accent1" w:themeShade="7F"/>
      <w:sz w:val="24"/>
      <w:szCs w:val="24"/>
    </w:rPr>
  </w:style>
  <w:style w:type="character" w:styleId="Hyperlink">
    <w:name w:val="Hyperlink"/>
    <w:basedOn w:val="DefaultParagraphFont"/>
    <w:uiPriority w:val="99"/>
    <w:unhideWhenUsed/>
    <w:rsid w:val="0085652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5824959">
      <w:bodyDiv w:val="1"/>
      <w:marLeft w:val="0"/>
      <w:marRight w:val="0"/>
      <w:marTop w:val="0"/>
      <w:marBottom w:val="0"/>
      <w:divBdr>
        <w:top w:val="none" w:sz="0" w:space="0" w:color="auto"/>
        <w:left w:val="none" w:sz="0" w:space="0" w:color="auto"/>
        <w:bottom w:val="none" w:sz="0" w:space="0" w:color="auto"/>
        <w:right w:val="none" w:sz="0" w:space="0" w:color="auto"/>
      </w:divBdr>
    </w:div>
    <w:div w:id="1483083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abacademies.org/articles/strategic-handout-of-economic-sides-to-economic-extension-in-bangladesh-an-ardl-bound-test-approach-837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199</Words>
  <Characters>1140</Characters>
  <Application>Microsoft Office Word</Application>
  <DocSecurity>0</DocSecurity>
  <Lines>9</Lines>
  <Paragraphs>2</Paragraphs>
  <ScaleCrop>false</ScaleCrop>
  <Company/>
  <LinksUpToDate>false</LinksUpToDate>
  <CharactersWithSpaces>1337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2021-12-27T08:45:00Z</dcterms:created>
  <dcterms:modified xsi:type="dcterms:W3CDTF">2021-12-27T08:54:00Z</dcterms:modified>
</cp:coreProperties>
</file>