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2FE" w:rsidRPr="006532FE" w:rsidRDefault="006532FE" w:rsidP="006532FE">
      <w:pPr>
        <w:jc w:val="both"/>
        <w:rPr>
          <w:rFonts w:ascii="Times New Roman" w:hAnsi="Times New Roman" w:cs="Times New Roman"/>
          <w:b/>
          <w:sz w:val="44"/>
          <w:szCs w:val="44"/>
        </w:rPr>
      </w:pPr>
      <w:bookmarkStart w:id="0" w:name="_GoBack"/>
      <w:r w:rsidRPr="006532FE">
        <w:rPr>
          <w:rFonts w:ascii="Times New Roman" w:hAnsi="Times New Roman" w:cs="Times New Roman"/>
          <w:b/>
          <w:sz w:val="44"/>
          <w:szCs w:val="44"/>
        </w:rPr>
        <w:t>Surface Plasmon Resonance Based Titanium Coated Biosensor for Cancer Cell Detection</w:t>
      </w:r>
    </w:p>
    <w:bookmarkEnd w:id="0"/>
    <w:p w:rsidR="00E37D21" w:rsidRPr="006532FE" w:rsidRDefault="006532FE" w:rsidP="006532FE">
      <w:pPr>
        <w:jc w:val="both"/>
        <w:rPr>
          <w:rFonts w:ascii="Times New Roman" w:hAnsi="Times New Roman" w:cs="Times New Roman"/>
          <w:color w:val="2E74B5" w:themeColor="accent1" w:themeShade="BF"/>
          <w:sz w:val="24"/>
          <w:szCs w:val="24"/>
        </w:rPr>
      </w:pPr>
      <w:r w:rsidRPr="006532FE">
        <w:rPr>
          <w:rFonts w:ascii="Times New Roman" w:hAnsi="Times New Roman" w:cs="Times New Roman"/>
          <w:color w:val="2E74B5" w:themeColor="accent1" w:themeShade="BF"/>
          <w:sz w:val="24"/>
          <w:szCs w:val="24"/>
        </w:rPr>
        <w:t xml:space="preserve">Md. </w:t>
      </w:r>
      <w:proofErr w:type="spellStart"/>
      <w:r w:rsidRPr="006532FE">
        <w:rPr>
          <w:rFonts w:ascii="Times New Roman" w:hAnsi="Times New Roman" w:cs="Times New Roman"/>
          <w:color w:val="2E74B5" w:themeColor="accent1" w:themeShade="BF"/>
          <w:sz w:val="24"/>
          <w:szCs w:val="24"/>
        </w:rPr>
        <w:t>Asaduzzaman</w:t>
      </w:r>
      <w:proofErr w:type="spellEnd"/>
      <w:r w:rsidRPr="006532FE">
        <w:rPr>
          <w:rFonts w:ascii="Times New Roman" w:hAnsi="Times New Roman" w:cs="Times New Roman"/>
          <w:color w:val="2E74B5" w:themeColor="accent1" w:themeShade="BF"/>
          <w:sz w:val="24"/>
          <w:szCs w:val="24"/>
        </w:rPr>
        <w:t xml:space="preserve"> </w:t>
      </w:r>
      <w:proofErr w:type="spellStart"/>
      <w:r w:rsidRPr="006532FE">
        <w:rPr>
          <w:rFonts w:ascii="Times New Roman" w:hAnsi="Times New Roman" w:cs="Times New Roman"/>
          <w:color w:val="2E74B5" w:themeColor="accent1" w:themeShade="BF"/>
          <w:sz w:val="24"/>
          <w:szCs w:val="24"/>
        </w:rPr>
        <w:t>Jabin</w:t>
      </w:r>
      <w:proofErr w:type="spellEnd"/>
      <w:r w:rsidRPr="006532FE">
        <w:rPr>
          <w:rFonts w:ascii="Times New Roman" w:hAnsi="Times New Roman" w:cs="Times New Roman"/>
          <w:color w:val="2E74B5" w:themeColor="accent1" w:themeShade="BF"/>
          <w:sz w:val="24"/>
          <w:szCs w:val="24"/>
        </w:rPr>
        <w:t xml:space="preserve">, </w:t>
      </w:r>
      <w:proofErr w:type="spellStart"/>
      <w:r w:rsidRPr="006532FE">
        <w:rPr>
          <w:rFonts w:ascii="Times New Roman" w:hAnsi="Times New Roman" w:cs="Times New Roman"/>
          <w:color w:val="2E74B5" w:themeColor="accent1" w:themeShade="BF"/>
          <w:sz w:val="24"/>
          <w:szCs w:val="24"/>
        </w:rPr>
        <w:t>Kawsar</w:t>
      </w:r>
      <w:proofErr w:type="spellEnd"/>
      <w:r w:rsidRPr="006532FE">
        <w:rPr>
          <w:rFonts w:ascii="Times New Roman" w:hAnsi="Times New Roman" w:cs="Times New Roman"/>
          <w:color w:val="2E74B5" w:themeColor="accent1" w:themeShade="BF"/>
          <w:sz w:val="24"/>
          <w:szCs w:val="24"/>
        </w:rPr>
        <w:t xml:space="preserve"> Ahmed, Md. </w:t>
      </w:r>
      <w:proofErr w:type="spellStart"/>
      <w:r w:rsidRPr="006532FE">
        <w:rPr>
          <w:rFonts w:ascii="Times New Roman" w:hAnsi="Times New Roman" w:cs="Times New Roman"/>
          <w:color w:val="2E74B5" w:themeColor="accent1" w:themeShade="BF"/>
          <w:sz w:val="24"/>
          <w:szCs w:val="24"/>
        </w:rPr>
        <w:t>Juwel</w:t>
      </w:r>
      <w:proofErr w:type="spellEnd"/>
      <w:r w:rsidRPr="006532FE">
        <w:rPr>
          <w:rFonts w:ascii="Times New Roman" w:hAnsi="Times New Roman" w:cs="Times New Roman"/>
          <w:color w:val="2E74B5" w:themeColor="accent1" w:themeShade="BF"/>
          <w:sz w:val="24"/>
          <w:szCs w:val="24"/>
        </w:rPr>
        <w:t xml:space="preserve"> </w:t>
      </w:r>
      <w:proofErr w:type="spellStart"/>
      <w:r w:rsidRPr="006532FE">
        <w:rPr>
          <w:rFonts w:ascii="Times New Roman" w:hAnsi="Times New Roman" w:cs="Times New Roman"/>
          <w:color w:val="2E74B5" w:themeColor="accent1" w:themeShade="BF"/>
          <w:sz w:val="24"/>
          <w:szCs w:val="24"/>
        </w:rPr>
        <w:t>Rana</w:t>
      </w:r>
      <w:proofErr w:type="spellEnd"/>
      <w:r w:rsidRPr="006532FE">
        <w:rPr>
          <w:rFonts w:ascii="Times New Roman" w:hAnsi="Times New Roman" w:cs="Times New Roman"/>
          <w:color w:val="2E74B5" w:themeColor="accent1" w:themeShade="BF"/>
          <w:sz w:val="24"/>
          <w:szCs w:val="24"/>
        </w:rPr>
        <w:t xml:space="preserve">, </w:t>
      </w:r>
      <w:proofErr w:type="spellStart"/>
      <w:r w:rsidRPr="006532FE">
        <w:rPr>
          <w:rFonts w:ascii="Times New Roman" w:hAnsi="Times New Roman" w:cs="Times New Roman"/>
          <w:color w:val="2E74B5" w:themeColor="accent1" w:themeShade="BF"/>
          <w:sz w:val="24"/>
          <w:szCs w:val="24"/>
        </w:rPr>
        <w:t>Bikash</w:t>
      </w:r>
      <w:proofErr w:type="spellEnd"/>
      <w:r w:rsidRPr="006532FE">
        <w:rPr>
          <w:rFonts w:ascii="Times New Roman" w:hAnsi="Times New Roman" w:cs="Times New Roman"/>
          <w:color w:val="2E74B5" w:themeColor="accent1" w:themeShade="BF"/>
          <w:sz w:val="24"/>
          <w:szCs w:val="24"/>
        </w:rPr>
        <w:t xml:space="preserve"> Kumar Paul, </w:t>
      </w:r>
      <w:proofErr w:type="spellStart"/>
      <w:r w:rsidRPr="006532FE">
        <w:rPr>
          <w:rFonts w:ascii="Times New Roman" w:hAnsi="Times New Roman" w:cs="Times New Roman"/>
          <w:color w:val="2E74B5" w:themeColor="accent1" w:themeShade="BF"/>
          <w:sz w:val="24"/>
          <w:szCs w:val="24"/>
        </w:rPr>
        <w:t>Maheen</w:t>
      </w:r>
      <w:proofErr w:type="spellEnd"/>
      <w:r w:rsidRPr="006532FE">
        <w:rPr>
          <w:rFonts w:ascii="Times New Roman" w:hAnsi="Times New Roman" w:cs="Times New Roman"/>
          <w:color w:val="2E74B5" w:themeColor="accent1" w:themeShade="BF"/>
          <w:sz w:val="24"/>
          <w:szCs w:val="24"/>
        </w:rPr>
        <w:t xml:space="preserve"> Islam, </w:t>
      </w:r>
      <w:proofErr w:type="spellStart"/>
      <w:r w:rsidRPr="006532FE">
        <w:rPr>
          <w:rFonts w:ascii="Times New Roman" w:hAnsi="Times New Roman" w:cs="Times New Roman"/>
          <w:color w:val="2E74B5" w:themeColor="accent1" w:themeShade="BF"/>
          <w:sz w:val="24"/>
          <w:szCs w:val="24"/>
        </w:rPr>
        <w:t>Dhasarathan</w:t>
      </w:r>
      <w:proofErr w:type="spellEnd"/>
      <w:r w:rsidRPr="006532FE">
        <w:rPr>
          <w:rFonts w:ascii="Times New Roman" w:hAnsi="Times New Roman" w:cs="Times New Roman"/>
          <w:color w:val="2E74B5" w:themeColor="accent1" w:themeShade="BF"/>
          <w:sz w:val="24"/>
          <w:szCs w:val="24"/>
        </w:rPr>
        <w:t xml:space="preserve"> </w:t>
      </w:r>
      <w:proofErr w:type="spellStart"/>
      <w:r w:rsidRPr="006532FE">
        <w:rPr>
          <w:rFonts w:ascii="Times New Roman" w:hAnsi="Times New Roman" w:cs="Times New Roman"/>
          <w:color w:val="2E74B5" w:themeColor="accent1" w:themeShade="BF"/>
          <w:sz w:val="24"/>
          <w:szCs w:val="24"/>
        </w:rPr>
        <w:t>Vigneswaran</w:t>
      </w:r>
      <w:proofErr w:type="spellEnd"/>
      <w:r w:rsidRPr="006532FE">
        <w:rPr>
          <w:rFonts w:ascii="Times New Roman" w:hAnsi="Times New Roman" w:cs="Times New Roman"/>
          <w:color w:val="2E74B5" w:themeColor="accent1" w:themeShade="BF"/>
          <w:sz w:val="24"/>
          <w:szCs w:val="24"/>
        </w:rPr>
        <w:t xml:space="preserve">, Muhammad </w:t>
      </w:r>
      <w:proofErr w:type="spellStart"/>
      <w:r w:rsidRPr="006532FE">
        <w:rPr>
          <w:rFonts w:ascii="Times New Roman" w:hAnsi="Times New Roman" w:cs="Times New Roman"/>
          <w:color w:val="2E74B5" w:themeColor="accent1" w:themeShade="BF"/>
          <w:sz w:val="24"/>
          <w:szCs w:val="24"/>
        </w:rPr>
        <w:t>Shahin</w:t>
      </w:r>
      <w:proofErr w:type="spellEnd"/>
      <w:r w:rsidRPr="006532FE">
        <w:rPr>
          <w:rFonts w:ascii="Times New Roman" w:hAnsi="Times New Roman" w:cs="Times New Roman"/>
          <w:color w:val="2E74B5" w:themeColor="accent1" w:themeShade="BF"/>
          <w:sz w:val="24"/>
          <w:szCs w:val="24"/>
        </w:rPr>
        <w:t xml:space="preserve"> Uddin</w:t>
      </w:r>
    </w:p>
    <w:p w:rsidR="006532FE" w:rsidRPr="006532FE" w:rsidRDefault="006532FE" w:rsidP="006532FE">
      <w:pPr>
        <w:spacing w:after="0" w:line="276" w:lineRule="auto"/>
        <w:jc w:val="both"/>
        <w:rPr>
          <w:rFonts w:ascii="Times New Roman" w:hAnsi="Times New Roman" w:cs="Times New Roman"/>
          <w:b/>
          <w:sz w:val="24"/>
          <w:szCs w:val="24"/>
        </w:rPr>
      </w:pPr>
      <w:r w:rsidRPr="006532FE">
        <w:rPr>
          <w:rFonts w:ascii="Times New Roman" w:hAnsi="Times New Roman" w:cs="Times New Roman"/>
          <w:b/>
          <w:sz w:val="24"/>
          <w:szCs w:val="24"/>
        </w:rPr>
        <w:t xml:space="preserve">Abstract: </w:t>
      </w:r>
    </w:p>
    <w:p w:rsidR="006532FE" w:rsidRPr="006532FE" w:rsidRDefault="006532FE" w:rsidP="006532FE">
      <w:pPr>
        <w:jc w:val="both"/>
        <w:rPr>
          <w:rFonts w:ascii="Times New Roman" w:hAnsi="Times New Roman" w:cs="Times New Roman"/>
          <w:sz w:val="24"/>
          <w:szCs w:val="24"/>
        </w:rPr>
      </w:pPr>
      <w:r w:rsidRPr="006532FE">
        <w:rPr>
          <w:rFonts w:ascii="Times New Roman" w:hAnsi="Times New Roman" w:cs="Times New Roman"/>
          <w:sz w:val="24"/>
          <w:szCs w:val="24"/>
        </w:rPr>
        <w:t xml:space="preserve">A new optimized bowl-shaped mono-core surface </w:t>
      </w:r>
      <w:proofErr w:type="spellStart"/>
      <w:r w:rsidRPr="006532FE">
        <w:rPr>
          <w:rFonts w:ascii="Times New Roman" w:hAnsi="Times New Roman" w:cs="Times New Roman"/>
          <w:sz w:val="24"/>
          <w:szCs w:val="24"/>
        </w:rPr>
        <w:t>plasmon</w:t>
      </w:r>
      <w:proofErr w:type="spellEnd"/>
      <w:r w:rsidRPr="006532FE">
        <w:rPr>
          <w:rFonts w:ascii="Times New Roman" w:hAnsi="Times New Roman" w:cs="Times New Roman"/>
          <w:sz w:val="24"/>
          <w:szCs w:val="24"/>
        </w:rPr>
        <w:t xml:space="preserve"> resonance based cancer sensor is proposed for the rapid detection of different types of cancer affected cell. By considering the refractive index of each individual cancer contaminated cell with respect to their normal cell, some major optical parameters variation are observed. Moreover, the cancerous cell concentration is considered at 80% in liquid form and the detection method is finite element method with 2 100 390 mesh elements. The variation of spectrum shift is obtained by </w:t>
      </w:r>
      <w:proofErr w:type="spellStart"/>
      <w:r w:rsidRPr="006532FE">
        <w:rPr>
          <w:rFonts w:ascii="Times New Roman" w:hAnsi="Times New Roman" w:cs="Times New Roman"/>
          <w:sz w:val="24"/>
          <w:szCs w:val="24"/>
        </w:rPr>
        <w:t>plasmonic</w:t>
      </w:r>
      <w:proofErr w:type="spellEnd"/>
      <w:r w:rsidRPr="006532FE">
        <w:rPr>
          <w:rFonts w:ascii="Times New Roman" w:hAnsi="Times New Roman" w:cs="Times New Roman"/>
          <w:sz w:val="24"/>
          <w:szCs w:val="24"/>
        </w:rPr>
        <w:t xml:space="preserve"> band gap between the silica and cancer cell part which is separated by a thin (35 nm) titanium film coating. The proposed sensor depicts a high birefringence of 0.04 with a maximum coupling length of 66 </w:t>
      </w:r>
      <w:proofErr w:type="spellStart"/>
      <w:r w:rsidRPr="006532FE">
        <w:rPr>
          <w:rFonts w:ascii="Times New Roman" w:hAnsi="Times New Roman" w:cs="Times New Roman"/>
          <w:sz w:val="24"/>
          <w:szCs w:val="24"/>
        </w:rPr>
        <w:t>μm</w:t>
      </w:r>
      <w:proofErr w:type="spellEnd"/>
      <w:r w:rsidRPr="006532FE">
        <w:rPr>
          <w:rFonts w:ascii="Times New Roman" w:hAnsi="Times New Roman" w:cs="Times New Roman"/>
          <w:sz w:val="24"/>
          <w:szCs w:val="24"/>
        </w:rPr>
        <w:t>. However, the proposed structure provides an optimum wavelength sensitivity level between about 10 000 nm/RIU and 17 500 with a resolution of the sensor between 1.5 × 10−2 and 9.33 × 10−3 RIU. Also, the transmittance variance of the cancerous cell ranges from almost 3300 to 6100 dB/RIU and the amplitude sensitivity ranges nearly between −340 and −420 RIU−1 for different cancer cells in major polarization mode with the maximum detection limit of 0.025. Besides, the overall sensitivity performance is measured with respect to their normal cells which can be better than any other prior structures that have already proposed.</w:t>
      </w:r>
    </w:p>
    <w:p w:rsidR="006532FE" w:rsidRPr="006532FE" w:rsidRDefault="006532FE" w:rsidP="006532FE">
      <w:pPr>
        <w:spacing w:after="0" w:line="276" w:lineRule="auto"/>
        <w:rPr>
          <w:rFonts w:ascii="Times New Roman" w:hAnsi="Times New Roman" w:cs="Times New Roman"/>
          <w:b/>
          <w:sz w:val="24"/>
          <w:szCs w:val="24"/>
        </w:rPr>
      </w:pPr>
      <w:r w:rsidRPr="006532FE">
        <w:rPr>
          <w:rFonts w:ascii="Times New Roman" w:hAnsi="Times New Roman" w:cs="Times New Roman"/>
          <w:b/>
          <w:sz w:val="24"/>
          <w:szCs w:val="24"/>
        </w:rPr>
        <w:t>Conference / Journal Link:</w:t>
      </w:r>
    </w:p>
    <w:p w:rsidR="006532FE" w:rsidRPr="006532FE" w:rsidRDefault="006532FE" w:rsidP="006532FE">
      <w:pPr>
        <w:rPr>
          <w:rFonts w:ascii="Times New Roman" w:hAnsi="Times New Roman" w:cs="Times New Roman"/>
          <w:sz w:val="24"/>
          <w:szCs w:val="24"/>
        </w:rPr>
      </w:pPr>
      <w:hyperlink r:id="rId4" w:history="1">
        <w:r w:rsidRPr="006532FE">
          <w:rPr>
            <w:rStyle w:val="Hyperlink"/>
            <w:rFonts w:ascii="Times New Roman" w:hAnsi="Times New Roman" w:cs="Times New Roman"/>
            <w:sz w:val="24"/>
            <w:szCs w:val="24"/>
          </w:rPr>
          <w:t>https://www.semanticscholar.org/paper/Surface-Plasmon-Resonance-Based-Titanium-Coated-for-Jabin-Ahmed/25287d82d560de91e8272eefd52147c62b722614</w:t>
        </w:r>
      </w:hyperlink>
    </w:p>
    <w:p w:rsidR="006532FE" w:rsidRPr="006532FE" w:rsidRDefault="006532FE" w:rsidP="006532FE">
      <w:pPr>
        <w:spacing w:after="0" w:line="276" w:lineRule="auto"/>
        <w:rPr>
          <w:rFonts w:ascii="Times New Roman" w:hAnsi="Times New Roman" w:cs="Times New Roman"/>
          <w:b/>
          <w:sz w:val="24"/>
          <w:szCs w:val="24"/>
        </w:rPr>
      </w:pPr>
      <w:r w:rsidRPr="006532FE">
        <w:rPr>
          <w:rFonts w:ascii="Times New Roman" w:hAnsi="Times New Roman" w:cs="Times New Roman"/>
          <w:b/>
          <w:sz w:val="24"/>
          <w:szCs w:val="24"/>
        </w:rPr>
        <w:t>DOI:</w:t>
      </w:r>
    </w:p>
    <w:p w:rsidR="006532FE" w:rsidRPr="006532FE" w:rsidRDefault="006532FE" w:rsidP="006532FE">
      <w:pPr>
        <w:rPr>
          <w:rFonts w:ascii="Times New Roman" w:hAnsi="Times New Roman" w:cs="Times New Roman"/>
          <w:sz w:val="24"/>
          <w:szCs w:val="24"/>
        </w:rPr>
      </w:pPr>
      <w:hyperlink r:id="rId5" w:history="1">
        <w:r w:rsidRPr="006532FE">
          <w:rPr>
            <w:rStyle w:val="Hyperlink"/>
            <w:rFonts w:ascii="Times New Roman" w:hAnsi="Times New Roman" w:cs="Times New Roman"/>
            <w:sz w:val="24"/>
            <w:szCs w:val="24"/>
          </w:rPr>
          <w:t>10.1109/JPHOT.2019.2924825</w:t>
        </w:r>
      </w:hyperlink>
    </w:p>
    <w:sectPr w:rsidR="006532FE" w:rsidRPr="006532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2FE"/>
    <w:rsid w:val="006532FE"/>
    <w:rsid w:val="00E37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5374A1-4A6B-41E9-A4E1-DF261CA94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532F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2F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6532F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87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10.1109/JPHOT.2019.2924825" TargetMode="External"/><Relationship Id="rId4" Type="http://schemas.openxmlformats.org/officeDocument/2006/relationships/hyperlink" Target="https://www.semanticscholar.org/paper/Surface-Plasmon-Resonance-Based-Titanium-Coated-for-Jabin-Ahmed/25287d82d560de91e8272eefd52147c62b7226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300</Words>
  <Characters>1716</Characters>
  <Application>Microsoft Office Word</Application>
  <DocSecurity>0</DocSecurity>
  <Lines>14</Lines>
  <Paragraphs>4</Paragraphs>
  <ScaleCrop>false</ScaleCrop>
  <Company/>
  <LinksUpToDate>false</LinksUpToDate>
  <CharactersWithSpaces>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2021-12-28T10:26:00Z</dcterms:created>
  <dcterms:modified xsi:type="dcterms:W3CDTF">2021-12-28T10:31:00Z</dcterms:modified>
</cp:coreProperties>
</file>