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0195" w:rsidRDefault="00ED0195" w:rsidP="00ED0195">
      <w:pPr>
        <w:spacing w:before="150" w:after="150" w:line="240" w:lineRule="auto"/>
        <w:rPr>
          <w:rFonts w:ascii="Times New Roman" w:eastAsia="Times New Roman" w:hAnsi="Times New Roman" w:cs="Times New Roman"/>
          <w:color w:val="4C4C4C"/>
          <w:sz w:val="40"/>
          <w:szCs w:val="40"/>
        </w:rPr>
      </w:pPr>
      <w:r w:rsidRPr="00ED0195">
        <w:rPr>
          <w:rFonts w:ascii="Times New Roman" w:eastAsia="Times New Roman" w:hAnsi="Times New Roman" w:cs="Times New Roman"/>
          <w:color w:val="4C4C4C"/>
          <w:sz w:val="40"/>
          <w:szCs w:val="40"/>
        </w:rPr>
        <w:t>Comparative Quality Evaluation of Different Brands of Ciprofloxacin Tablets Available in Pharmaceutical Market of Bangladesh</w:t>
      </w:r>
    </w:p>
    <w:p w:rsidR="00F14E48" w:rsidRPr="00ED0195" w:rsidRDefault="00F14E48" w:rsidP="00ED0195">
      <w:pPr>
        <w:spacing w:before="150" w:after="150" w:line="240" w:lineRule="auto"/>
        <w:rPr>
          <w:rFonts w:ascii="Times New Roman" w:eastAsia="Times New Roman" w:hAnsi="Times New Roman" w:cs="Times New Roman"/>
          <w:color w:val="4C4C4C"/>
          <w:sz w:val="40"/>
          <w:szCs w:val="40"/>
        </w:rPr>
      </w:pPr>
    </w:p>
    <w:p w:rsidR="00ED0195" w:rsidRPr="00844294" w:rsidRDefault="00F14E48" w:rsidP="001C5DE9">
      <w:pPr>
        <w:spacing w:before="150" w:after="150" w:line="240" w:lineRule="auto"/>
        <w:jc w:val="both"/>
        <w:rPr>
          <w:rFonts w:ascii="Times New Roman" w:eastAsia="Times New Roman" w:hAnsi="Times New Roman" w:cs="Times New Roman"/>
          <w:b/>
          <w:color w:val="2E74B5" w:themeColor="accent1" w:themeShade="BF"/>
          <w:sz w:val="24"/>
          <w:szCs w:val="24"/>
        </w:rPr>
      </w:pPr>
      <w:proofErr w:type="spellStart"/>
      <w:r w:rsidRPr="00844294">
        <w:rPr>
          <w:rFonts w:ascii="Times New Roman" w:hAnsi="Times New Roman" w:cs="Times New Roman"/>
          <w:color w:val="2E74B5" w:themeColor="accent1" w:themeShade="BF"/>
          <w:sz w:val="24"/>
          <w:szCs w:val="24"/>
        </w:rPr>
        <w:t>Mizanur</w:t>
      </w:r>
      <w:proofErr w:type="spellEnd"/>
      <w:r w:rsidRPr="00844294">
        <w:rPr>
          <w:rFonts w:ascii="Times New Roman" w:hAnsi="Times New Roman" w:cs="Times New Roman"/>
          <w:color w:val="2E74B5" w:themeColor="accent1" w:themeShade="BF"/>
          <w:sz w:val="24"/>
          <w:szCs w:val="24"/>
        </w:rPr>
        <w:t xml:space="preserve"> Rahman, M. </w:t>
      </w:r>
      <w:proofErr w:type="spellStart"/>
      <w:r w:rsidRPr="00844294">
        <w:rPr>
          <w:rFonts w:ascii="Times New Roman" w:hAnsi="Times New Roman" w:cs="Times New Roman"/>
          <w:color w:val="2E74B5" w:themeColor="accent1" w:themeShade="BF"/>
          <w:sz w:val="24"/>
          <w:szCs w:val="24"/>
        </w:rPr>
        <w:t>Asraful</w:t>
      </w:r>
      <w:proofErr w:type="spellEnd"/>
      <w:r w:rsidRPr="00844294">
        <w:rPr>
          <w:rFonts w:ascii="Times New Roman" w:hAnsi="Times New Roman" w:cs="Times New Roman"/>
          <w:color w:val="2E74B5" w:themeColor="accent1" w:themeShade="BF"/>
          <w:sz w:val="24"/>
          <w:szCs w:val="24"/>
        </w:rPr>
        <w:t xml:space="preserve"> </w:t>
      </w:r>
      <w:proofErr w:type="spellStart"/>
      <w:r w:rsidR="00A6392E">
        <w:rPr>
          <w:rFonts w:ascii="Times New Roman" w:hAnsi="Times New Roman" w:cs="Times New Roman"/>
          <w:color w:val="2E74B5" w:themeColor="accent1" w:themeShade="BF"/>
          <w:sz w:val="24"/>
          <w:szCs w:val="24"/>
        </w:rPr>
        <w:t>Haque</w:t>
      </w:r>
      <w:proofErr w:type="spellEnd"/>
      <w:r w:rsidR="00A6392E">
        <w:rPr>
          <w:rFonts w:ascii="Times New Roman" w:hAnsi="Times New Roman" w:cs="Times New Roman"/>
          <w:color w:val="2E74B5" w:themeColor="accent1" w:themeShade="BF"/>
          <w:sz w:val="24"/>
          <w:szCs w:val="24"/>
        </w:rPr>
        <w:t>,</w:t>
      </w:r>
      <w:r w:rsidRPr="00844294">
        <w:rPr>
          <w:rFonts w:ascii="Times New Roman" w:hAnsi="Times New Roman" w:cs="Times New Roman"/>
          <w:color w:val="2E74B5" w:themeColor="accent1" w:themeShade="BF"/>
          <w:sz w:val="24"/>
          <w:szCs w:val="24"/>
        </w:rPr>
        <w:t xml:space="preserve"> </w:t>
      </w:r>
      <w:proofErr w:type="spellStart"/>
      <w:r w:rsidRPr="00844294">
        <w:rPr>
          <w:rFonts w:ascii="Times New Roman" w:hAnsi="Times New Roman" w:cs="Times New Roman"/>
          <w:color w:val="2E74B5" w:themeColor="accent1" w:themeShade="BF"/>
          <w:sz w:val="24"/>
          <w:szCs w:val="24"/>
        </w:rPr>
        <w:t>Nahian</w:t>
      </w:r>
      <w:proofErr w:type="spellEnd"/>
      <w:r w:rsidRPr="00844294">
        <w:rPr>
          <w:rFonts w:ascii="Times New Roman" w:hAnsi="Times New Roman" w:cs="Times New Roman"/>
          <w:color w:val="2E74B5" w:themeColor="accent1" w:themeShade="BF"/>
          <w:sz w:val="24"/>
          <w:szCs w:val="24"/>
        </w:rPr>
        <w:t xml:space="preserve"> </w:t>
      </w:r>
      <w:proofErr w:type="spellStart"/>
      <w:r w:rsidRPr="00844294">
        <w:rPr>
          <w:rFonts w:ascii="Times New Roman" w:hAnsi="Times New Roman" w:cs="Times New Roman"/>
          <w:color w:val="2E74B5" w:themeColor="accent1" w:themeShade="BF"/>
          <w:sz w:val="24"/>
          <w:szCs w:val="24"/>
        </w:rPr>
        <w:t>Fyrose</w:t>
      </w:r>
      <w:proofErr w:type="spellEnd"/>
      <w:r w:rsidRPr="00844294">
        <w:rPr>
          <w:rFonts w:ascii="Times New Roman" w:hAnsi="Times New Roman" w:cs="Times New Roman"/>
          <w:color w:val="2E74B5" w:themeColor="accent1" w:themeShade="BF"/>
          <w:sz w:val="24"/>
          <w:szCs w:val="24"/>
        </w:rPr>
        <w:t xml:space="preserve"> </w:t>
      </w:r>
      <w:proofErr w:type="spellStart"/>
      <w:r w:rsidRPr="00844294">
        <w:rPr>
          <w:rFonts w:ascii="Times New Roman" w:hAnsi="Times New Roman" w:cs="Times New Roman"/>
          <w:color w:val="2E74B5" w:themeColor="accent1" w:themeShade="BF"/>
          <w:sz w:val="24"/>
          <w:szCs w:val="24"/>
        </w:rPr>
        <w:t>Fahim</w:t>
      </w:r>
      <w:proofErr w:type="spellEnd"/>
    </w:p>
    <w:p w:rsidR="00F14E48" w:rsidRPr="00844294" w:rsidRDefault="00F14E48" w:rsidP="001C5DE9">
      <w:pPr>
        <w:spacing w:before="150" w:after="150" w:line="240" w:lineRule="auto"/>
        <w:jc w:val="both"/>
        <w:rPr>
          <w:rFonts w:ascii="Times New Roman" w:eastAsia="Times New Roman" w:hAnsi="Times New Roman" w:cs="Times New Roman"/>
          <w:b/>
          <w:color w:val="4C4C4C"/>
          <w:sz w:val="24"/>
          <w:szCs w:val="24"/>
        </w:rPr>
      </w:pPr>
    </w:p>
    <w:p w:rsidR="001C5DE9" w:rsidRPr="00844294" w:rsidRDefault="001C5DE9" w:rsidP="001C5DE9">
      <w:pPr>
        <w:spacing w:before="150" w:after="150" w:line="240" w:lineRule="auto"/>
        <w:jc w:val="both"/>
        <w:rPr>
          <w:rFonts w:ascii="Times New Roman" w:eastAsia="Times New Roman" w:hAnsi="Times New Roman" w:cs="Times New Roman"/>
          <w:b/>
          <w:color w:val="4C4C4C"/>
          <w:sz w:val="24"/>
          <w:szCs w:val="24"/>
        </w:rPr>
      </w:pPr>
      <w:r w:rsidRPr="00844294">
        <w:rPr>
          <w:rFonts w:ascii="Times New Roman" w:eastAsia="Times New Roman" w:hAnsi="Times New Roman" w:cs="Times New Roman"/>
          <w:b/>
          <w:color w:val="4C4C4C"/>
          <w:sz w:val="24"/>
          <w:szCs w:val="24"/>
        </w:rPr>
        <w:t>Abstract:</w:t>
      </w:r>
    </w:p>
    <w:p w:rsidR="00970FA9" w:rsidRPr="00844294" w:rsidRDefault="00970FA9" w:rsidP="001C5DE9">
      <w:pPr>
        <w:spacing w:before="150" w:after="150" w:line="240" w:lineRule="auto"/>
        <w:jc w:val="both"/>
        <w:rPr>
          <w:rFonts w:ascii="Times New Roman" w:eastAsia="Times New Roman" w:hAnsi="Times New Roman" w:cs="Times New Roman"/>
          <w:b/>
          <w:color w:val="4C4C4C"/>
          <w:sz w:val="24"/>
          <w:szCs w:val="24"/>
        </w:rPr>
      </w:pPr>
      <w:bookmarkStart w:id="0" w:name="_GoBack"/>
      <w:bookmarkEnd w:id="0"/>
      <w:r w:rsidRPr="00844294">
        <w:rPr>
          <w:rFonts w:ascii="Times New Roman" w:hAnsi="Times New Roman" w:cs="Times New Roman"/>
          <w:color w:val="111111"/>
          <w:sz w:val="24"/>
          <w:szCs w:val="24"/>
          <w:shd w:val="clear" w:color="auto" w:fill="FFFFFF"/>
        </w:rPr>
        <w:t xml:space="preserve">Ciprofloxacin is an antibiotic in a group of drugs called </w:t>
      </w:r>
      <w:proofErr w:type="spellStart"/>
      <w:r w:rsidRPr="00844294">
        <w:rPr>
          <w:rFonts w:ascii="Times New Roman" w:hAnsi="Times New Roman" w:cs="Times New Roman"/>
          <w:color w:val="111111"/>
          <w:sz w:val="24"/>
          <w:szCs w:val="24"/>
          <w:shd w:val="clear" w:color="auto" w:fill="FFFFFF"/>
        </w:rPr>
        <w:t>fluoroquinolones</w:t>
      </w:r>
      <w:proofErr w:type="spellEnd"/>
      <w:r w:rsidRPr="00844294">
        <w:rPr>
          <w:rFonts w:ascii="Times New Roman" w:hAnsi="Times New Roman" w:cs="Times New Roman"/>
          <w:color w:val="111111"/>
          <w:sz w:val="24"/>
          <w:szCs w:val="24"/>
          <w:shd w:val="clear" w:color="auto" w:fill="FFFFFF"/>
        </w:rPr>
        <w:t xml:space="preserve">. It is a broad-spectrum antibiotic that acts against a number of bacterial infections. It is widely produced and marketed drug by many pharmaceutical companies in Bangladesh. The aim of the study is to compare the different physical parameters including hardness, friability, diameter, thickness, disintegration time, dissolution test and assay for quality evaluation and characterization of tablets of five different brands of Bangladeshi pharmaceutical company. All five brands of ciprofloxacin </w:t>
      </w:r>
      <w:proofErr w:type="spellStart"/>
      <w:r w:rsidRPr="00844294">
        <w:rPr>
          <w:rFonts w:ascii="Times New Roman" w:hAnsi="Times New Roman" w:cs="Times New Roman"/>
          <w:color w:val="111111"/>
          <w:sz w:val="24"/>
          <w:szCs w:val="24"/>
          <w:shd w:val="clear" w:color="auto" w:fill="FFFFFF"/>
        </w:rPr>
        <w:t>HCl</w:t>
      </w:r>
      <w:proofErr w:type="spellEnd"/>
      <w:r w:rsidRPr="00844294">
        <w:rPr>
          <w:rFonts w:ascii="Times New Roman" w:hAnsi="Times New Roman" w:cs="Times New Roman"/>
          <w:color w:val="111111"/>
          <w:sz w:val="24"/>
          <w:szCs w:val="24"/>
          <w:shd w:val="clear" w:color="auto" w:fill="FFFFFF"/>
        </w:rPr>
        <w:t xml:space="preserve"> tested meet the specification of the USP for content uniformity, weight variation, hardness, friability, thickness, diameter, disintegration and dissolution. The amount of active ciprofloxacin </w:t>
      </w:r>
      <w:proofErr w:type="spellStart"/>
      <w:r w:rsidRPr="00844294">
        <w:rPr>
          <w:rFonts w:ascii="Times New Roman" w:hAnsi="Times New Roman" w:cs="Times New Roman"/>
          <w:color w:val="111111"/>
          <w:sz w:val="24"/>
          <w:szCs w:val="24"/>
          <w:shd w:val="clear" w:color="auto" w:fill="FFFFFF"/>
        </w:rPr>
        <w:t>HCl</w:t>
      </w:r>
      <w:proofErr w:type="spellEnd"/>
      <w:r w:rsidRPr="00844294">
        <w:rPr>
          <w:rFonts w:ascii="Times New Roman" w:hAnsi="Times New Roman" w:cs="Times New Roman"/>
          <w:color w:val="111111"/>
          <w:sz w:val="24"/>
          <w:szCs w:val="24"/>
          <w:shd w:val="clear" w:color="auto" w:fill="FFFFFF"/>
        </w:rPr>
        <w:t xml:space="preserve"> varies from 482.15 mg to 507.85 mg among the products. The average hardness of the products varies 4.76 kg/cm to 9.46 kg/cm respectively. All the brands had shown disintegration time 7.0 to 12.2 minutes while they showed 88.15% to 96.51% release of active ingredient within 30 minutes in dissolution testing. This may confirm the absorption of the drug from gastrointestinal tract for optimum therapeutic </w:t>
      </w:r>
      <w:r w:rsidR="00955856" w:rsidRPr="00844294">
        <w:rPr>
          <w:rFonts w:ascii="Times New Roman" w:hAnsi="Times New Roman" w:cs="Times New Roman"/>
          <w:color w:val="111111"/>
          <w:sz w:val="24"/>
          <w:szCs w:val="24"/>
          <w:shd w:val="clear" w:color="auto" w:fill="FFFFFF"/>
        </w:rPr>
        <w:t>effect. So</w:t>
      </w:r>
      <w:r w:rsidRPr="00844294">
        <w:rPr>
          <w:rFonts w:ascii="Times New Roman" w:hAnsi="Times New Roman" w:cs="Times New Roman"/>
          <w:color w:val="111111"/>
          <w:sz w:val="24"/>
          <w:szCs w:val="24"/>
          <w:shd w:val="clear" w:color="auto" w:fill="FFFFFF"/>
        </w:rPr>
        <w:t xml:space="preserve"> from this study we can conclude that products of Ciprofloxacin available in Bangladeshi pharmaceutical market meet t</w:t>
      </w:r>
      <w:r w:rsidR="00F20D82">
        <w:rPr>
          <w:rFonts w:ascii="Times New Roman" w:hAnsi="Times New Roman" w:cs="Times New Roman"/>
          <w:color w:val="111111"/>
          <w:sz w:val="24"/>
          <w:szCs w:val="24"/>
          <w:shd w:val="clear" w:color="auto" w:fill="FFFFFF"/>
        </w:rPr>
        <w:t xml:space="preserve">he quality parameter to </w:t>
      </w:r>
      <w:proofErr w:type="spellStart"/>
      <w:r w:rsidR="00F20D82">
        <w:rPr>
          <w:rFonts w:ascii="Times New Roman" w:hAnsi="Times New Roman" w:cs="Times New Roman"/>
          <w:color w:val="111111"/>
          <w:sz w:val="24"/>
          <w:szCs w:val="24"/>
          <w:shd w:val="clear" w:color="auto" w:fill="FFFFFF"/>
        </w:rPr>
        <w:t>satisfy</w:t>
      </w:r>
      <w:r w:rsidRPr="00844294">
        <w:rPr>
          <w:rFonts w:ascii="Times New Roman" w:hAnsi="Times New Roman" w:cs="Times New Roman"/>
          <w:color w:val="111111"/>
          <w:sz w:val="24"/>
          <w:szCs w:val="24"/>
          <w:shd w:val="clear" w:color="auto" w:fill="FFFFFF"/>
        </w:rPr>
        <w:t>t</w:t>
      </w:r>
      <w:r w:rsidR="00F20D82">
        <w:rPr>
          <w:rFonts w:ascii="Times New Roman" w:hAnsi="Times New Roman" w:cs="Times New Roman"/>
          <w:color w:val="111111"/>
          <w:sz w:val="24"/>
          <w:szCs w:val="24"/>
          <w:shd w:val="clear" w:color="auto" w:fill="FFFFFF"/>
        </w:rPr>
        <w:t>herapeutic</w:t>
      </w:r>
      <w:r w:rsidRPr="00844294">
        <w:rPr>
          <w:rFonts w:ascii="Times New Roman" w:hAnsi="Times New Roman" w:cs="Times New Roman"/>
          <w:color w:val="111111"/>
          <w:sz w:val="24"/>
          <w:szCs w:val="24"/>
          <w:shd w:val="clear" w:color="auto" w:fill="FFFFFF"/>
        </w:rPr>
        <w:t>efficacy</w:t>
      </w:r>
      <w:proofErr w:type="spellEnd"/>
      <w:r w:rsidRPr="00844294">
        <w:rPr>
          <w:rFonts w:ascii="Times New Roman" w:hAnsi="Times New Roman" w:cs="Times New Roman"/>
          <w:color w:val="111111"/>
          <w:sz w:val="24"/>
          <w:szCs w:val="24"/>
          <w:shd w:val="clear" w:color="auto" w:fill="FFFFFF"/>
        </w:rPr>
        <w:t>.</w:t>
      </w:r>
      <w:r w:rsidRPr="00844294">
        <w:rPr>
          <w:rFonts w:ascii="Times New Roman" w:hAnsi="Times New Roman" w:cs="Times New Roman"/>
          <w:color w:val="4C4C4C"/>
          <w:sz w:val="24"/>
          <w:szCs w:val="24"/>
          <w:shd w:val="clear" w:color="auto" w:fill="FFFFFF"/>
        </w:rPr>
        <w:br/>
      </w:r>
    </w:p>
    <w:p w:rsidR="001C5DE9" w:rsidRPr="00844294"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Pr="00844294" w:rsidRDefault="001C5DE9" w:rsidP="001C5DE9">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844294">
        <w:rPr>
          <w:rFonts w:ascii="Times New Roman" w:hAnsi="Times New Roman" w:cs="Times New Roman"/>
          <w:b/>
          <w:bCs/>
          <w:color w:val="4C4C4C"/>
          <w:sz w:val="24"/>
          <w:szCs w:val="24"/>
          <w:shd w:val="clear" w:color="auto" w:fill="FFFFFF"/>
        </w:rPr>
        <w:t>Conference / Journal Link:</w:t>
      </w:r>
    </w:p>
    <w:p w:rsidR="008A447A" w:rsidRPr="00844294" w:rsidRDefault="00F20D82" w:rsidP="008A447A">
      <w:pPr>
        <w:spacing w:before="150"/>
        <w:jc w:val="both"/>
        <w:rPr>
          <w:rFonts w:ascii="Times New Roman" w:hAnsi="Times New Roman" w:cs="Times New Roman"/>
          <w:color w:val="2E74B5" w:themeColor="accent1" w:themeShade="BF"/>
          <w:sz w:val="24"/>
          <w:szCs w:val="24"/>
        </w:rPr>
      </w:pPr>
      <w:hyperlink r:id="rId4" w:history="1">
        <w:r w:rsidR="00F14E48" w:rsidRPr="00844294">
          <w:rPr>
            <w:rStyle w:val="Hyperlink"/>
            <w:rFonts w:ascii="Times New Roman" w:hAnsi="Times New Roman" w:cs="Times New Roman"/>
            <w:color w:val="2E74B5" w:themeColor="accent1" w:themeShade="BF"/>
            <w:sz w:val="24"/>
            <w:szCs w:val="24"/>
            <w:u w:val="none"/>
          </w:rPr>
          <w:t>https://pharmacologyonline.silae.it/files/archives/2019/vol1/PhOL_2019_1_A006_Mizanur.pdf</w:t>
        </w:r>
      </w:hyperlink>
    </w:p>
    <w:p w:rsidR="00F14E48" w:rsidRPr="00844294" w:rsidRDefault="00F14E48" w:rsidP="001C5DE9">
      <w:pPr>
        <w:spacing w:before="150"/>
        <w:jc w:val="both"/>
        <w:rPr>
          <w:rFonts w:ascii="Times New Roman" w:hAnsi="Times New Roman" w:cs="Times New Roman"/>
          <w:b/>
          <w:bCs/>
          <w:color w:val="4C4C4C"/>
          <w:sz w:val="24"/>
          <w:szCs w:val="24"/>
          <w:shd w:val="clear" w:color="auto" w:fill="FFFFFF"/>
        </w:rPr>
      </w:pPr>
    </w:p>
    <w:p w:rsidR="00D0008B" w:rsidRPr="00844294" w:rsidRDefault="00D0008B">
      <w:pPr>
        <w:rPr>
          <w:rFonts w:ascii="Times New Roman" w:hAnsi="Times New Roman" w:cs="Times New Roman"/>
          <w:sz w:val="24"/>
          <w:szCs w:val="24"/>
        </w:rPr>
      </w:pPr>
    </w:p>
    <w:sectPr w:rsidR="00D0008B" w:rsidRPr="008442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060B17"/>
    <w:rsid w:val="0014543D"/>
    <w:rsid w:val="00145E3C"/>
    <w:rsid w:val="001C5DE9"/>
    <w:rsid w:val="00204521"/>
    <w:rsid w:val="00355289"/>
    <w:rsid w:val="003B3CD4"/>
    <w:rsid w:val="003C0050"/>
    <w:rsid w:val="00453319"/>
    <w:rsid w:val="0051294E"/>
    <w:rsid w:val="00614BEB"/>
    <w:rsid w:val="006F2FC2"/>
    <w:rsid w:val="00812485"/>
    <w:rsid w:val="00830232"/>
    <w:rsid w:val="00844294"/>
    <w:rsid w:val="008A447A"/>
    <w:rsid w:val="00955856"/>
    <w:rsid w:val="00970FA9"/>
    <w:rsid w:val="00982A47"/>
    <w:rsid w:val="0099662C"/>
    <w:rsid w:val="00A6392E"/>
    <w:rsid w:val="00C810D7"/>
    <w:rsid w:val="00D0008B"/>
    <w:rsid w:val="00D06FF5"/>
    <w:rsid w:val="00DD36F7"/>
    <w:rsid w:val="00E20B35"/>
    <w:rsid w:val="00E40599"/>
    <w:rsid w:val="00ED0195"/>
    <w:rsid w:val="00F14E48"/>
    <w:rsid w:val="00F20D82"/>
    <w:rsid w:val="00F962A9"/>
    <w:rsid w:val="00FD4C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214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harmacologyonline.silae.it/files/archives/2019/vol1/PhOL_2019_1_A006_Mizanu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Pages>
  <Words>264</Words>
  <Characters>1511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62</cp:revision>
  <dcterms:created xsi:type="dcterms:W3CDTF">2022-01-23T04:31:00Z</dcterms:created>
  <dcterms:modified xsi:type="dcterms:W3CDTF">2022-01-23T05:54:00Z</dcterms:modified>
</cp:coreProperties>
</file>