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379" w:rsidRDefault="00AB6AD5" w:rsidP="00AB6AD5">
      <w:pPr>
        <w:spacing w:before="150" w:after="150" w:line="240" w:lineRule="auto"/>
        <w:rPr>
          <w:rFonts w:ascii="Times New Roman" w:eastAsia="Times New Roman" w:hAnsi="Times New Roman" w:cs="Times New Roman"/>
          <w:color w:val="4C4C4C"/>
          <w:sz w:val="40"/>
          <w:szCs w:val="40"/>
        </w:rPr>
      </w:pPr>
      <w:r w:rsidRPr="00AB6AD5">
        <w:rPr>
          <w:rFonts w:ascii="Times New Roman" w:eastAsia="Times New Roman" w:hAnsi="Times New Roman" w:cs="Times New Roman"/>
          <w:color w:val="4C4C4C"/>
          <w:sz w:val="40"/>
          <w:szCs w:val="40"/>
        </w:rPr>
        <w:t>Chirped Large Mode Area Photonic Crystal Modal Fibers and Its Resonance Modes Based on Finite Element Technique</w:t>
      </w:r>
    </w:p>
    <w:p w:rsidR="00AB6AD5" w:rsidRDefault="00AB6AD5" w:rsidP="00AB6AD5">
      <w:pPr>
        <w:spacing w:before="150" w:after="150" w:line="240" w:lineRule="auto"/>
        <w:rPr>
          <w:rFonts w:ascii="Times New Roman" w:eastAsia="Times New Roman" w:hAnsi="Times New Roman" w:cs="Times New Roman"/>
          <w:color w:val="4C4C4C"/>
          <w:sz w:val="40"/>
          <w:szCs w:val="40"/>
        </w:rPr>
      </w:pPr>
    </w:p>
    <w:p w:rsidR="00AB6AD5" w:rsidRPr="00AB6AD5" w:rsidRDefault="00AB6AD5" w:rsidP="00AB6AD5">
      <w:pPr>
        <w:spacing w:before="150" w:after="150" w:line="240" w:lineRule="auto"/>
        <w:jc w:val="both"/>
        <w:rPr>
          <w:rStyle w:val="contributor"/>
          <w:rFonts w:ascii="Times New Roman" w:hAnsi="Times New Roman" w:cs="Times New Roman"/>
          <w:iCs/>
          <w:color w:val="2E74B5" w:themeColor="accent1" w:themeShade="BF"/>
          <w:sz w:val="24"/>
          <w:szCs w:val="24"/>
          <w:shd w:val="clear" w:color="auto" w:fill="FFFFFF"/>
        </w:rPr>
      </w:pPr>
      <w:r w:rsidRPr="00AB6AD5">
        <w:rPr>
          <w:rStyle w:val="contributor"/>
          <w:rFonts w:ascii="Times New Roman" w:hAnsi="Times New Roman" w:cs="Times New Roman"/>
          <w:iCs/>
          <w:color w:val="2E74B5" w:themeColor="accent1" w:themeShade="BF"/>
          <w:sz w:val="24"/>
          <w:szCs w:val="24"/>
          <w:shd w:val="clear" w:color="auto" w:fill="FFFFFF"/>
        </w:rPr>
        <w:t>Is</w:t>
      </w:r>
      <w:r w:rsidRPr="00AB6AD5">
        <w:rPr>
          <w:rStyle w:val="contributor"/>
          <w:rFonts w:ascii="Times New Roman" w:hAnsi="Times New Roman" w:cs="Times New Roman"/>
          <w:iCs/>
          <w:color w:val="2E74B5" w:themeColor="accent1" w:themeShade="BF"/>
          <w:sz w:val="24"/>
          <w:szCs w:val="24"/>
          <w:shd w:val="clear" w:color="auto" w:fill="FFFFFF"/>
        </w:rPr>
        <w:t xml:space="preserve"> </w:t>
      </w:r>
      <w:proofErr w:type="spellStart"/>
      <w:r w:rsidRPr="00AB6AD5">
        <w:rPr>
          <w:rStyle w:val="contributor"/>
          <w:rFonts w:ascii="Times New Roman" w:hAnsi="Times New Roman" w:cs="Times New Roman"/>
          <w:iCs/>
          <w:color w:val="2E74B5" w:themeColor="accent1" w:themeShade="BF"/>
          <w:sz w:val="24"/>
          <w:szCs w:val="24"/>
          <w:shd w:val="clear" w:color="auto" w:fill="FFFFFF"/>
        </w:rPr>
        <w:t>Amiri</w:t>
      </w:r>
      <w:proofErr w:type="spellEnd"/>
      <w:r w:rsidRPr="00AB6AD5">
        <w:rPr>
          <w:rFonts w:ascii="Times New Roman" w:hAnsi="Times New Roman" w:cs="Times New Roman"/>
          <w:iCs/>
          <w:color w:val="2E74B5" w:themeColor="accent1" w:themeShade="BF"/>
          <w:sz w:val="24"/>
          <w:szCs w:val="24"/>
          <w:shd w:val="clear" w:color="auto" w:fill="FFFFFF"/>
        </w:rPr>
        <w:t>, </w:t>
      </w:r>
      <w:r w:rsidRPr="00AB6AD5">
        <w:rPr>
          <w:rStyle w:val="contributor"/>
          <w:rFonts w:ascii="Times New Roman" w:hAnsi="Times New Roman" w:cs="Times New Roman"/>
          <w:iCs/>
          <w:color w:val="2E74B5" w:themeColor="accent1" w:themeShade="BF"/>
          <w:sz w:val="24"/>
          <w:szCs w:val="24"/>
          <w:shd w:val="clear" w:color="auto" w:fill="FFFFFF"/>
        </w:rPr>
        <w:t xml:space="preserve">Ahmed </w:t>
      </w:r>
      <w:proofErr w:type="spellStart"/>
      <w:r w:rsidRPr="00AB6AD5">
        <w:rPr>
          <w:rStyle w:val="contributor"/>
          <w:rFonts w:ascii="Times New Roman" w:hAnsi="Times New Roman" w:cs="Times New Roman"/>
          <w:iCs/>
          <w:color w:val="2E74B5" w:themeColor="accent1" w:themeShade="BF"/>
          <w:sz w:val="24"/>
          <w:szCs w:val="24"/>
          <w:shd w:val="clear" w:color="auto" w:fill="FFFFFF"/>
        </w:rPr>
        <w:t>Nabih</w:t>
      </w:r>
      <w:proofErr w:type="spellEnd"/>
      <w:r w:rsidRPr="00AB6AD5">
        <w:rPr>
          <w:rStyle w:val="contributor"/>
          <w:rFonts w:ascii="Times New Roman" w:hAnsi="Times New Roman" w:cs="Times New Roman"/>
          <w:iCs/>
          <w:color w:val="2E74B5" w:themeColor="accent1" w:themeShade="BF"/>
          <w:sz w:val="24"/>
          <w:szCs w:val="24"/>
          <w:shd w:val="clear" w:color="auto" w:fill="FFFFFF"/>
        </w:rPr>
        <w:t xml:space="preserve"> </w:t>
      </w:r>
      <w:proofErr w:type="spellStart"/>
      <w:r w:rsidRPr="00AB6AD5">
        <w:rPr>
          <w:rStyle w:val="contributor"/>
          <w:rFonts w:ascii="Times New Roman" w:hAnsi="Times New Roman" w:cs="Times New Roman"/>
          <w:iCs/>
          <w:color w:val="2E74B5" w:themeColor="accent1" w:themeShade="BF"/>
          <w:sz w:val="24"/>
          <w:szCs w:val="24"/>
          <w:shd w:val="clear" w:color="auto" w:fill="FFFFFF"/>
        </w:rPr>
        <w:t>Zaki</w:t>
      </w:r>
      <w:proofErr w:type="spellEnd"/>
      <w:r w:rsidRPr="00AB6AD5">
        <w:rPr>
          <w:rStyle w:val="contributor"/>
          <w:rFonts w:ascii="Times New Roman" w:hAnsi="Times New Roman" w:cs="Times New Roman"/>
          <w:iCs/>
          <w:color w:val="2E74B5" w:themeColor="accent1" w:themeShade="BF"/>
          <w:sz w:val="24"/>
          <w:szCs w:val="24"/>
          <w:shd w:val="clear" w:color="auto" w:fill="FFFFFF"/>
        </w:rPr>
        <w:t xml:space="preserve"> </w:t>
      </w:r>
      <w:proofErr w:type="spellStart"/>
      <w:r w:rsidRPr="00AB6AD5">
        <w:rPr>
          <w:rStyle w:val="contributor"/>
          <w:rFonts w:ascii="Times New Roman" w:hAnsi="Times New Roman" w:cs="Times New Roman"/>
          <w:iCs/>
          <w:color w:val="2E74B5" w:themeColor="accent1" w:themeShade="BF"/>
          <w:sz w:val="24"/>
          <w:szCs w:val="24"/>
          <w:shd w:val="clear" w:color="auto" w:fill="FFFFFF"/>
        </w:rPr>
        <w:t>Rashed</w:t>
      </w:r>
      <w:proofErr w:type="spellEnd"/>
      <w:r w:rsidRPr="00AB6AD5">
        <w:rPr>
          <w:rFonts w:ascii="Times New Roman" w:hAnsi="Times New Roman" w:cs="Times New Roman"/>
          <w:iCs/>
          <w:color w:val="2E74B5" w:themeColor="accent1" w:themeShade="BF"/>
          <w:sz w:val="24"/>
          <w:szCs w:val="24"/>
          <w:shd w:val="clear" w:color="auto" w:fill="FFFFFF"/>
        </w:rPr>
        <w:t>, </w:t>
      </w:r>
      <w:proofErr w:type="spellStart"/>
      <w:r w:rsidRPr="00AB6AD5">
        <w:rPr>
          <w:rStyle w:val="contributor"/>
          <w:rFonts w:ascii="Times New Roman" w:hAnsi="Times New Roman" w:cs="Times New Roman"/>
          <w:iCs/>
          <w:color w:val="2E74B5" w:themeColor="accent1" w:themeShade="BF"/>
          <w:sz w:val="24"/>
          <w:szCs w:val="24"/>
          <w:shd w:val="clear" w:color="auto" w:fill="FFFFFF"/>
        </w:rPr>
        <w:t>Kaushik</w:t>
      </w:r>
      <w:proofErr w:type="spellEnd"/>
      <w:r w:rsidRPr="00AB6AD5">
        <w:rPr>
          <w:rStyle w:val="contributor"/>
          <w:rFonts w:ascii="Times New Roman" w:hAnsi="Times New Roman" w:cs="Times New Roman"/>
          <w:iCs/>
          <w:color w:val="2E74B5" w:themeColor="accent1" w:themeShade="BF"/>
          <w:sz w:val="24"/>
          <w:szCs w:val="24"/>
          <w:shd w:val="clear" w:color="auto" w:fill="FFFFFF"/>
        </w:rPr>
        <w:t xml:space="preserve"> </w:t>
      </w:r>
      <w:proofErr w:type="spellStart"/>
      <w:r w:rsidRPr="00AB6AD5">
        <w:rPr>
          <w:rStyle w:val="contributor"/>
          <w:rFonts w:ascii="Times New Roman" w:hAnsi="Times New Roman" w:cs="Times New Roman"/>
          <w:iCs/>
          <w:color w:val="2E74B5" w:themeColor="accent1" w:themeShade="BF"/>
          <w:sz w:val="24"/>
          <w:szCs w:val="24"/>
          <w:shd w:val="clear" w:color="auto" w:fill="FFFFFF"/>
        </w:rPr>
        <w:t>Sarker</w:t>
      </w:r>
      <w:proofErr w:type="spellEnd"/>
      <w:r w:rsidRPr="00AB6AD5">
        <w:rPr>
          <w:rFonts w:ascii="Times New Roman" w:hAnsi="Times New Roman" w:cs="Times New Roman"/>
          <w:iCs/>
          <w:color w:val="2E74B5" w:themeColor="accent1" w:themeShade="BF"/>
          <w:sz w:val="24"/>
          <w:szCs w:val="24"/>
          <w:shd w:val="clear" w:color="auto" w:fill="FFFFFF"/>
        </w:rPr>
        <w:t>, </w:t>
      </w:r>
      <w:proofErr w:type="spellStart"/>
      <w:r w:rsidRPr="00AB6AD5">
        <w:rPr>
          <w:rStyle w:val="contributor"/>
          <w:rFonts w:ascii="Times New Roman" w:hAnsi="Times New Roman" w:cs="Times New Roman"/>
          <w:iCs/>
          <w:color w:val="2E74B5" w:themeColor="accent1" w:themeShade="BF"/>
          <w:sz w:val="24"/>
          <w:szCs w:val="24"/>
          <w:shd w:val="clear" w:color="auto" w:fill="FFFFFF"/>
        </w:rPr>
        <w:t>Bikash</w:t>
      </w:r>
      <w:proofErr w:type="spellEnd"/>
      <w:r w:rsidRPr="00AB6AD5">
        <w:rPr>
          <w:rStyle w:val="contributor"/>
          <w:rFonts w:ascii="Times New Roman" w:hAnsi="Times New Roman" w:cs="Times New Roman"/>
          <w:iCs/>
          <w:color w:val="2E74B5" w:themeColor="accent1" w:themeShade="BF"/>
          <w:sz w:val="24"/>
          <w:szCs w:val="24"/>
          <w:shd w:val="clear" w:color="auto" w:fill="FFFFFF"/>
        </w:rPr>
        <w:t xml:space="preserve"> Kumar Paul</w:t>
      </w:r>
      <w:r w:rsidRPr="00AB6AD5">
        <w:rPr>
          <w:rFonts w:ascii="Times New Roman" w:hAnsi="Times New Roman" w:cs="Times New Roman"/>
          <w:iCs/>
          <w:color w:val="2E74B5" w:themeColor="accent1" w:themeShade="BF"/>
          <w:sz w:val="24"/>
          <w:szCs w:val="24"/>
          <w:shd w:val="clear" w:color="auto" w:fill="FFFFFF"/>
        </w:rPr>
        <w:t xml:space="preserve">, </w:t>
      </w:r>
      <w:proofErr w:type="spellStart"/>
      <w:r w:rsidRPr="00AB6AD5">
        <w:rPr>
          <w:rStyle w:val="contributor"/>
          <w:rFonts w:ascii="Times New Roman" w:hAnsi="Times New Roman" w:cs="Times New Roman"/>
          <w:iCs/>
          <w:color w:val="2E74B5" w:themeColor="accent1" w:themeShade="BF"/>
          <w:sz w:val="24"/>
          <w:szCs w:val="24"/>
          <w:shd w:val="clear" w:color="auto" w:fill="FFFFFF"/>
        </w:rPr>
        <w:t>Kawsar</w:t>
      </w:r>
      <w:proofErr w:type="spellEnd"/>
      <w:r w:rsidRPr="00AB6AD5">
        <w:rPr>
          <w:rStyle w:val="contributor"/>
          <w:rFonts w:ascii="Times New Roman" w:hAnsi="Times New Roman" w:cs="Times New Roman"/>
          <w:iCs/>
          <w:color w:val="2E74B5" w:themeColor="accent1" w:themeShade="BF"/>
          <w:sz w:val="24"/>
          <w:szCs w:val="24"/>
          <w:shd w:val="clear" w:color="auto" w:fill="FFFFFF"/>
        </w:rPr>
        <w:t xml:space="preserve"> Ahmed</w:t>
      </w:r>
    </w:p>
    <w:p w:rsidR="00AB6AD5" w:rsidRPr="00AB6AD5" w:rsidRDefault="00AB6AD5" w:rsidP="00AB6AD5">
      <w:pPr>
        <w:spacing w:before="150" w:after="150" w:line="240" w:lineRule="auto"/>
        <w:jc w:val="both"/>
        <w:rPr>
          <w:rFonts w:ascii="Times New Roman" w:eastAsia="Times New Roman" w:hAnsi="Times New Roman" w:cs="Times New Roman"/>
          <w:color w:val="2E74B5" w:themeColor="accent1" w:themeShade="BF"/>
          <w:sz w:val="24"/>
          <w:szCs w:val="24"/>
        </w:rPr>
      </w:pPr>
    </w:p>
    <w:p w:rsidR="001C5DE9" w:rsidRPr="00AB6AD5" w:rsidRDefault="001C5DE9" w:rsidP="00AB6AD5">
      <w:pPr>
        <w:spacing w:before="150" w:after="150" w:line="240" w:lineRule="auto"/>
        <w:jc w:val="both"/>
        <w:rPr>
          <w:rFonts w:ascii="Times New Roman" w:eastAsia="Times New Roman" w:hAnsi="Times New Roman" w:cs="Times New Roman"/>
          <w:b/>
          <w:color w:val="4C4C4C"/>
          <w:sz w:val="24"/>
          <w:szCs w:val="24"/>
        </w:rPr>
      </w:pPr>
      <w:r w:rsidRPr="00AB6AD5">
        <w:rPr>
          <w:rFonts w:ascii="Times New Roman" w:eastAsia="Times New Roman" w:hAnsi="Times New Roman" w:cs="Times New Roman"/>
          <w:b/>
          <w:color w:val="4C4C4C"/>
          <w:sz w:val="24"/>
          <w:szCs w:val="24"/>
        </w:rPr>
        <w:t>Abstract:</w:t>
      </w:r>
    </w:p>
    <w:p w:rsidR="00AB6AD5" w:rsidRPr="00AB6AD5" w:rsidRDefault="00AB6AD5" w:rsidP="00AB6AD5">
      <w:pPr>
        <w:spacing w:before="150" w:after="150" w:line="240" w:lineRule="auto"/>
        <w:jc w:val="both"/>
        <w:rPr>
          <w:rFonts w:ascii="Times New Roman" w:eastAsia="Times New Roman" w:hAnsi="Times New Roman" w:cs="Times New Roman"/>
          <w:b/>
          <w:color w:val="4C4C4C"/>
          <w:sz w:val="24"/>
          <w:szCs w:val="24"/>
        </w:rPr>
      </w:pPr>
      <w:r w:rsidRPr="00AB6AD5">
        <w:rPr>
          <w:rFonts w:ascii="Times New Roman" w:hAnsi="Times New Roman" w:cs="Times New Roman"/>
          <w:color w:val="2B2B2E"/>
          <w:sz w:val="24"/>
          <w:szCs w:val="24"/>
          <w:shd w:val="clear" w:color="auto" w:fill="FFFFFF"/>
        </w:rPr>
        <w:t>The study has outlined the finite element technique used for the fiber modal analysis of photonic crystal fiber (PCF) structure with a hexagonal/circular air holes arrangement on the cladding of pure fiber-optic silica. The used fibers that are namely highly nonlinear fiber (HNLF), single model silica fiber (SMSF) are combined with PCFs with different dopants concentration. Leakage loss, number of guided resonant modes, fiber birefringence, effective refractive index and cross-section areas and nonlinear coefficient parameters are measured inaccurate estimation. The optimum resonant guided modes are also estimated for different lattice infrastructure in circular PCFs.</w:t>
      </w:r>
    </w:p>
    <w:p w:rsidR="001C5DE9" w:rsidRPr="00AB6AD5" w:rsidRDefault="001C5DE9" w:rsidP="00AB6AD5">
      <w:pPr>
        <w:spacing w:before="150" w:after="150" w:line="240" w:lineRule="auto"/>
        <w:jc w:val="both"/>
        <w:rPr>
          <w:rFonts w:ascii="Times New Roman" w:hAnsi="Times New Roman" w:cs="Times New Roman"/>
          <w:b/>
          <w:bCs/>
          <w:color w:val="4C4C4C"/>
          <w:sz w:val="24"/>
          <w:szCs w:val="24"/>
          <w:shd w:val="clear" w:color="auto" w:fill="FFFFFF"/>
        </w:rPr>
      </w:pPr>
    </w:p>
    <w:p w:rsidR="001C5DE9" w:rsidRPr="00AB6AD5" w:rsidRDefault="001C5DE9" w:rsidP="00AB6AD5">
      <w:pPr>
        <w:spacing w:before="150" w:after="150" w:line="240" w:lineRule="auto"/>
        <w:jc w:val="both"/>
        <w:rPr>
          <w:rFonts w:ascii="Times New Roman" w:hAnsi="Times New Roman" w:cs="Times New Roman"/>
          <w:b/>
          <w:bCs/>
          <w:color w:val="4C4C4C"/>
          <w:sz w:val="24"/>
          <w:szCs w:val="24"/>
          <w:shd w:val="clear" w:color="auto" w:fill="FFFFFF"/>
        </w:rPr>
      </w:pPr>
      <w:r w:rsidRPr="00AB6AD5">
        <w:rPr>
          <w:rFonts w:ascii="Times New Roman" w:hAnsi="Times New Roman" w:cs="Times New Roman"/>
          <w:b/>
          <w:bCs/>
          <w:color w:val="4C4C4C"/>
          <w:sz w:val="24"/>
          <w:szCs w:val="24"/>
          <w:shd w:val="clear" w:color="auto" w:fill="FFFFFF"/>
        </w:rPr>
        <w:t>Conference / Journal Link:</w:t>
      </w:r>
    </w:p>
    <w:bookmarkStart w:id="0" w:name="cj_link"/>
    <w:p w:rsidR="00AB6AD5" w:rsidRPr="00AB6AD5" w:rsidRDefault="00AB6AD5" w:rsidP="00AB6AD5">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AB6AD5">
        <w:rPr>
          <w:rFonts w:ascii="Times New Roman" w:hAnsi="Times New Roman" w:cs="Times New Roman"/>
          <w:color w:val="2E74B5" w:themeColor="accent1" w:themeShade="BF"/>
          <w:sz w:val="24"/>
          <w:szCs w:val="24"/>
        </w:rPr>
        <w:fldChar w:fldCharType="begin"/>
      </w:r>
      <w:r w:rsidRPr="00AB6AD5">
        <w:rPr>
          <w:rFonts w:ascii="Times New Roman" w:hAnsi="Times New Roman" w:cs="Times New Roman"/>
          <w:color w:val="2E74B5" w:themeColor="accent1" w:themeShade="BF"/>
          <w:sz w:val="24"/>
          <w:szCs w:val="24"/>
        </w:rPr>
        <w:instrText xml:space="preserve"> HYPERLINK "https://www.degruyter.com/view/journals/joc/ahead-of-print/article-10.1515-joc-2019-0146/article-10.1515-joc-2019-0146.xml?language=en" \t "_blank" </w:instrText>
      </w:r>
      <w:r w:rsidRPr="00AB6AD5">
        <w:rPr>
          <w:rFonts w:ascii="Times New Roman" w:hAnsi="Times New Roman" w:cs="Times New Roman"/>
          <w:color w:val="2E74B5" w:themeColor="accent1" w:themeShade="BF"/>
          <w:sz w:val="24"/>
          <w:szCs w:val="24"/>
        </w:rPr>
        <w:fldChar w:fldCharType="separate"/>
      </w:r>
      <w:r w:rsidRPr="00AB6AD5">
        <w:rPr>
          <w:rStyle w:val="Hyperlink"/>
          <w:rFonts w:ascii="Times New Roman" w:hAnsi="Times New Roman" w:cs="Times New Roman"/>
          <w:color w:val="2E74B5" w:themeColor="accent1" w:themeShade="BF"/>
          <w:sz w:val="24"/>
          <w:szCs w:val="24"/>
          <w:u w:val="none"/>
          <w:shd w:val="clear" w:color="auto" w:fill="FFFFFF"/>
        </w:rPr>
        <w:t>https://www.degruyter.com/view/journals/joc/ahead-of-print/article-10.1515-joc-2019-0146/article</w:t>
      </w:r>
      <w:r w:rsidRPr="00AB6AD5">
        <w:rPr>
          <w:rFonts w:ascii="Times New Roman" w:hAnsi="Times New Roman" w:cs="Times New Roman"/>
          <w:color w:val="2E74B5" w:themeColor="accent1" w:themeShade="BF"/>
          <w:sz w:val="24"/>
          <w:szCs w:val="24"/>
        </w:rPr>
        <w:fldChar w:fldCharType="end"/>
      </w:r>
      <w:bookmarkEnd w:id="0"/>
    </w:p>
    <w:p w:rsidR="001C5DE9" w:rsidRPr="00AB6AD5" w:rsidRDefault="001C5DE9" w:rsidP="00AB6AD5">
      <w:pPr>
        <w:spacing w:before="150"/>
        <w:jc w:val="both"/>
        <w:rPr>
          <w:rFonts w:ascii="Times New Roman" w:hAnsi="Times New Roman" w:cs="Times New Roman"/>
          <w:b/>
          <w:color w:val="4C4C4C"/>
          <w:sz w:val="24"/>
          <w:szCs w:val="24"/>
        </w:rPr>
      </w:pPr>
    </w:p>
    <w:p w:rsidR="001C5DE9" w:rsidRPr="00AB6AD5" w:rsidRDefault="001C5DE9" w:rsidP="00AB6AD5">
      <w:pPr>
        <w:spacing w:before="150"/>
        <w:jc w:val="both"/>
        <w:rPr>
          <w:rFonts w:ascii="Times New Roman" w:hAnsi="Times New Roman" w:cs="Times New Roman"/>
          <w:b/>
          <w:color w:val="4C4C4C"/>
          <w:sz w:val="24"/>
          <w:szCs w:val="24"/>
        </w:rPr>
      </w:pPr>
      <w:r w:rsidRPr="00AB6AD5">
        <w:rPr>
          <w:rFonts w:ascii="Times New Roman" w:hAnsi="Times New Roman" w:cs="Times New Roman"/>
          <w:b/>
          <w:color w:val="4C4C4C"/>
          <w:sz w:val="24"/>
          <w:szCs w:val="24"/>
        </w:rPr>
        <w:t>DOI:</w:t>
      </w:r>
    </w:p>
    <w:p w:rsidR="00AB6AD5" w:rsidRPr="00AB6AD5" w:rsidRDefault="00AB6AD5" w:rsidP="00AB6AD5">
      <w:pPr>
        <w:spacing w:before="150"/>
        <w:jc w:val="both"/>
        <w:rPr>
          <w:rFonts w:ascii="Times New Roman" w:hAnsi="Times New Roman" w:cs="Times New Roman"/>
          <w:b/>
          <w:color w:val="2E74B5" w:themeColor="accent1" w:themeShade="BF"/>
          <w:sz w:val="24"/>
          <w:szCs w:val="24"/>
        </w:rPr>
      </w:pPr>
      <w:hyperlink r:id="rId4" w:tgtFrame="_blank" w:history="1">
        <w:r w:rsidRPr="00AB6AD5">
          <w:rPr>
            <w:rStyle w:val="Hyperlink"/>
            <w:rFonts w:ascii="Times New Roman" w:hAnsi="Times New Roman" w:cs="Times New Roman"/>
            <w:color w:val="2E74B5" w:themeColor="accent1" w:themeShade="BF"/>
            <w:sz w:val="24"/>
            <w:szCs w:val="24"/>
            <w:u w:val="none"/>
            <w:shd w:val="clear" w:color="auto" w:fill="FFFFFF"/>
          </w:rPr>
          <w:t>https://doi.org/10.1515/joc-2019-0146</w:t>
        </w:r>
      </w:hyperlink>
      <w:bookmarkStart w:id="1" w:name="_GoBack"/>
      <w:bookmarkEnd w:id="1"/>
    </w:p>
    <w:sectPr w:rsidR="00AB6AD5" w:rsidRPr="00AB6A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14543D"/>
    <w:rsid w:val="00145E3C"/>
    <w:rsid w:val="001C5DE9"/>
    <w:rsid w:val="001E49B8"/>
    <w:rsid w:val="00204521"/>
    <w:rsid w:val="003B3CD4"/>
    <w:rsid w:val="003C0050"/>
    <w:rsid w:val="00453319"/>
    <w:rsid w:val="00453379"/>
    <w:rsid w:val="004728A8"/>
    <w:rsid w:val="00473F85"/>
    <w:rsid w:val="0051294E"/>
    <w:rsid w:val="005261FE"/>
    <w:rsid w:val="00614BEB"/>
    <w:rsid w:val="006F2FC2"/>
    <w:rsid w:val="007F3AE5"/>
    <w:rsid w:val="00812485"/>
    <w:rsid w:val="00982A47"/>
    <w:rsid w:val="0099662C"/>
    <w:rsid w:val="00A20317"/>
    <w:rsid w:val="00AB6AD5"/>
    <w:rsid w:val="00D0008B"/>
    <w:rsid w:val="00E20B35"/>
    <w:rsid w:val="00EB3FC9"/>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contributor">
    <w:name w:val="contributor"/>
    <w:basedOn w:val="DefaultParagraphFont"/>
    <w:rsid w:val="00AB6A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515/joc-2019-01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191</Words>
  <Characters>1091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2022-01-19T04:16:00Z</dcterms:created>
  <dcterms:modified xsi:type="dcterms:W3CDTF">2022-01-22T10:34:00Z</dcterms:modified>
</cp:coreProperties>
</file>