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A04" w:rsidRPr="00410A04" w:rsidRDefault="00410A04" w:rsidP="00410A04">
      <w:pPr>
        <w:spacing w:before="150" w:after="150" w:line="240" w:lineRule="auto"/>
        <w:rPr>
          <w:rFonts w:ascii="Times New Roman" w:eastAsia="Times New Roman" w:hAnsi="Times New Roman" w:cs="Times New Roman"/>
          <w:color w:val="4C4C4C"/>
          <w:sz w:val="40"/>
          <w:szCs w:val="40"/>
        </w:rPr>
      </w:pPr>
      <w:r w:rsidRPr="00410A04">
        <w:rPr>
          <w:rFonts w:ascii="Times New Roman" w:eastAsia="Times New Roman" w:hAnsi="Times New Roman" w:cs="Times New Roman"/>
          <w:color w:val="4C4C4C"/>
          <w:sz w:val="40"/>
          <w:szCs w:val="40"/>
        </w:rPr>
        <w:t>Conscious Use of Code-switching to Improve Fluency in Spoken English of Bangladeshi Students</w:t>
      </w:r>
    </w:p>
    <w:p w:rsidR="005533AD" w:rsidRDefault="005533AD" w:rsidP="001C5DE9">
      <w:pPr>
        <w:spacing w:before="150" w:after="150" w:line="240" w:lineRule="auto"/>
        <w:jc w:val="both"/>
        <w:rPr>
          <w:rFonts w:ascii="Helvetica" w:hAnsi="Helvetica" w:cs="Helvetica"/>
          <w:color w:val="2E74B5" w:themeColor="accent1" w:themeShade="BF"/>
          <w:sz w:val="20"/>
          <w:szCs w:val="20"/>
          <w:shd w:val="clear" w:color="auto" w:fill="FFFFFF"/>
        </w:rPr>
      </w:pPr>
    </w:p>
    <w:p w:rsidR="00410A04" w:rsidRPr="005533AD" w:rsidRDefault="005533AD" w:rsidP="005533AD">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5533AD">
        <w:rPr>
          <w:rFonts w:ascii="Times New Roman" w:hAnsi="Times New Roman" w:cs="Times New Roman"/>
          <w:color w:val="2E74B5" w:themeColor="accent1" w:themeShade="BF"/>
          <w:sz w:val="24"/>
          <w:szCs w:val="24"/>
          <w:shd w:val="clear" w:color="auto" w:fill="FFFFFF"/>
        </w:rPr>
        <w:t>Ehatasham</w:t>
      </w:r>
      <w:proofErr w:type="spellEnd"/>
      <w:r w:rsidRPr="005533AD">
        <w:rPr>
          <w:rFonts w:ascii="Times New Roman" w:hAnsi="Times New Roman" w:cs="Times New Roman"/>
          <w:color w:val="2E74B5" w:themeColor="accent1" w:themeShade="BF"/>
          <w:sz w:val="24"/>
          <w:szCs w:val="24"/>
          <w:shd w:val="clear" w:color="auto" w:fill="FFFFFF"/>
        </w:rPr>
        <w:t xml:space="preserve"> </w:t>
      </w:r>
      <w:proofErr w:type="spellStart"/>
      <w:r w:rsidRPr="005533AD">
        <w:rPr>
          <w:rFonts w:ascii="Times New Roman" w:hAnsi="Times New Roman" w:cs="Times New Roman"/>
          <w:color w:val="2E74B5" w:themeColor="accent1" w:themeShade="BF"/>
          <w:sz w:val="24"/>
          <w:szCs w:val="24"/>
          <w:shd w:val="clear" w:color="auto" w:fill="FFFFFF"/>
        </w:rPr>
        <w:t>Ul</w:t>
      </w:r>
      <w:proofErr w:type="spellEnd"/>
      <w:r w:rsidRPr="005533AD">
        <w:rPr>
          <w:rFonts w:ascii="Times New Roman" w:hAnsi="Times New Roman" w:cs="Times New Roman"/>
          <w:color w:val="2E74B5" w:themeColor="accent1" w:themeShade="BF"/>
          <w:sz w:val="24"/>
          <w:szCs w:val="24"/>
          <w:shd w:val="clear" w:color="auto" w:fill="FFFFFF"/>
        </w:rPr>
        <w:t xml:space="preserve"> </w:t>
      </w:r>
      <w:proofErr w:type="spellStart"/>
      <w:r w:rsidRPr="005533AD">
        <w:rPr>
          <w:rFonts w:ascii="Times New Roman" w:hAnsi="Times New Roman" w:cs="Times New Roman"/>
          <w:color w:val="2E74B5" w:themeColor="accent1" w:themeShade="BF"/>
          <w:sz w:val="24"/>
          <w:szCs w:val="24"/>
          <w:shd w:val="clear" w:color="auto" w:fill="FFFFFF"/>
        </w:rPr>
        <w:t>Hoque</w:t>
      </w:r>
      <w:proofErr w:type="spellEnd"/>
      <w:r w:rsidRPr="005533AD">
        <w:rPr>
          <w:rFonts w:ascii="Times New Roman" w:hAnsi="Times New Roman" w:cs="Times New Roman"/>
          <w:color w:val="2E74B5" w:themeColor="accent1" w:themeShade="BF"/>
          <w:sz w:val="24"/>
          <w:szCs w:val="24"/>
          <w:shd w:val="clear" w:color="auto" w:fill="FFFFFF"/>
        </w:rPr>
        <w:t xml:space="preserve"> </w:t>
      </w:r>
      <w:proofErr w:type="spellStart"/>
      <w:r w:rsidRPr="005533AD">
        <w:rPr>
          <w:rFonts w:ascii="Times New Roman" w:hAnsi="Times New Roman" w:cs="Times New Roman"/>
          <w:color w:val="2E74B5" w:themeColor="accent1" w:themeShade="BF"/>
          <w:sz w:val="24"/>
          <w:szCs w:val="24"/>
          <w:shd w:val="clear" w:color="auto" w:fill="FFFFFF"/>
        </w:rPr>
        <w:t>Eiten</w:t>
      </w:r>
      <w:proofErr w:type="spellEnd"/>
    </w:p>
    <w:p w:rsidR="005533AD" w:rsidRPr="005533AD" w:rsidRDefault="005533AD" w:rsidP="005533AD">
      <w:pPr>
        <w:spacing w:before="150" w:after="150" w:line="240" w:lineRule="auto"/>
        <w:jc w:val="both"/>
        <w:rPr>
          <w:rFonts w:ascii="Times New Roman" w:eastAsia="Times New Roman" w:hAnsi="Times New Roman" w:cs="Times New Roman"/>
          <w:b/>
          <w:color w:val="4C4C4C"/>
          <w:sz w:val="24"/>
          <w:szCs w:val="24"/>
        </w:rPr>
      </w:pPr>
    </w:p>
    <w:p w:rsidR="001C5DE9" w:rsidRPr="005533AD" w:rsidRDefault="001C5DE9" w:rsidP="005533AD">
      <w:pPr>
        <w:spacing w:before="150" w:after="150" w:line="240" w:lineRule="auto"/>
        <w:jc w:val="both"/>
        <w:rPr>
          <w:rFonts w:ascii="Times New Roman" w:eastAsia="Times New Roman" w:hAnsi="Times New Roman" w:cs="Times New Roman"/>
          <w:b/>
          <w:color w:val="4C4C4C"/>
          <w:sz w:val="24"/>
          <w:szCs w:val="24"/>
        </w:rPr>
      </w:pPr>
      <w:r w:rsidRPr="005533AD">
        <w:rPr>
          <w:rFonts w:ascii="Times New Roman" w:eastAsia="Times New Roman" w:hAnsi="Times New Roman" w:cs="Times New Roman"/>
          <w:b/>
          <w:color w:val="4C4C4C"/>
          <w:sz w:val="24"/>
          <w:szCs w:val="24"/>
        </w:rPr>
        <w:t>Abstract:</w:t>
      </w:r>
    </w:p>
    <w:p w:rsidR="00410A04" w:rsidRPr="00410A04" w:rsidRDefault="00410A04" w:rsidP="005533AD">
      <w:pPr>
        <w:shd w:val="clear" w:color="auto" w:fill="FFFFFF"/>
        <w:spacing w:after="240" w:line="240" w:lineRule="auto"/>
        <w:jc w:val="both"/>
        <w:rPr>
          <w:rFonts w:ascii="Times New Roman" w:eastAsia="Times New Roman" w:hAnsi="Times New Roman" w:cs="Times New Roman"/>
          <w:color w:val="666666"/>
          <w:spacing w:val="2"/>
          <w:sz w:val="24"/>
          <w:szCs w:val="24"/>
        </w:rPr>
      </w:pPr>
      <w:r w:rsidRPr="005533AD">
        <w:rPr>
          <w:rFonts w:ascii="Times New Roman" w:eastAsia="Times New Roman" w:hAnsi="Times New Roman" w:cs="Times New Roman"/>
          <w:b/>
          <w:bCs/>
          <w:color w:val="666666"/>
          <w:spacing w:val="2"/>
          <w:sz w:val="24"/>
          <w:szCs w:val="24"/>
        </w:rPr>
        <w:t>Purpose</w:t>
      </w:r>
      <w:r w:rsidRPr="00410A04">
        <w:rPr>
          <w:rFonts w:ascii="Times New Roman" w:eastAsia="Times New Roman" w:hAnsi="Times New Roman" w:cs="Times New Roman"/>
          <w:color w:val="666666"/>
          <w:spacing w:val="2"/>
          <w:sz w:val="24"/>
          <w:szCs w:val="24"/>
        </w:rPr>
        <w:t xml:space="preserve">: Present-day English language teaching in Bangladesh, despite adopting Communicative Language Teaching (CLT), focuses more on accuracy (i.e. grammar) than fluency which is proved as a weak strategy. Fluency acquisition in speaking includes pronunciation, but focusing on pronunciation first, slows down the process of becoming a fluent </w:t>
      </w:r>
      <w:proofErr w:type="spellStart"/>
      <w:r w:rsidRPr="00410A04">
        <w:rPr>
          <w:rFonts w:ascii="Times New Roman" w:eastAsia="Times New Roman" w:hAnsi="Times New Roman" w:cs="Times New Roman"/>
          <w:color w:val="666666"/>
          <w:spacing w:val="2"/>
          <w:sz w:val="24"/>
          <w:szCs w:val="24"/>
        </w:rPr>
        <w:t>speaker.</w:t>
      </w:r>
      <w:r w:rsidRPr="005533AD">
        <w:rPr>
          <w:rFonts w:ascii="Times New Roman" w:eastAsia="Times New Roman" w:hAnsi="Times New Roman" w:cs="Times New Roman"/>
          <w:b/>
          <w:bCs/>
          <w:color w:val="666666"/>
          <w:spacing w:val="2"/>
          <w:sz w:val="24"/>
          <w:szCs w:val="24"/>
        </w:rPr>
        <w:t>Methodology</w:t>
      </w:r>
      <w:proofErr w:type="spellEnd"/>
      <w:r w:rsidRPr="00410A04">
        <w:rPr>
          <w:rFonts w:ascii="Times New Roman" w:eastAsia="Times New Roman" w:hAnsi="Times New Roman" w:cs="Times New Roman"/>
          <w:color w:val="666666"/>
          <w:spacing w:val="2"/>
          <w:sz w:val="24"/>
          <w:szCs w:val="24"/>
        </w:rPr>
        <w:t>: As code-switching exists at the tertiary level in Bangladesh and because of the tremendous fascination of Bangladeshi students towards Bengali, code-switching can be utilized as a tool to improve fluency in spoken English. Thus, this research proposes an alternative to existing approaches.</w:t>
      </w:r>
    </w:p>
    <w:p w:rsidR="00410A04" w:rsidRPr="00410A04" w:rsidRDefault="00410A04" w:rsidP="005533AD">
      <w:pPr>
        <w:spacing w:after="0" w:line="240" w:lineRule="auto"/>
        <w:jc w:val="both"/>
        <w:rPr>
          <w:rFonts w:ascii="Times New Roman" w:eastAsia="Times New Roman" w:hAnsi="Times New Roman" w:cs="Times New Roman"/>
          <w:sz w:val="24"/>
          <w:szCs w:val="24"/>
        </w:rPr>
      </w:pPr>
      <w:r w:rsidRPr="005533AD">
        <w:rPr>
          <w:rFonts w:ascii="Times New Roman" w:eastAsia="Times New Roman" w:hAnsi="Times New Roman" w:cs="Times New Roman"/>
          <w:b/>
          <w:bCs/>
          <w:color w:val="666666"/>
          <w:spacing w:val="2"/>
          <w:sz w:val="24"/>
          <w:szCs w:val="24"/>
        </w:rPr>
        <w:t>Result</w:t>
      </w:r>
      <w:r w:rsidRPr="00410A04">
        <w:rPr>
          <w:rFonts w:ascii="Times New Roman" w:eastAsia="Times New Roman" w:hAnsi="Times New Roman" w:cs="Times New Roman"/>
          <w:color w:val="666666"/>
          <w:spacing w:val="2"/>
          <w:sz w:val="24"/>
          <w:szCs w:val="24"/>
        </w:rPr>
        <w:t>: Once desired fluency is achieved; grammar and pronunciation will be emphasized respectively to attain proper speaking skills. The success of this process can be studied in three phases. In the first phase, it examines whether allowing code-switching while speaking English helps Bengali students achieve fluency or not.</w:t>
      </w:r>
    </w:p>
    <w:p w:rsidR="00410A04" w:rsidRPr="005533AD" w:rsidRDefault="00410A04" w:rsidP="005533AD">
      <w:pPr>
        <w:spacing w:after="0" w:line="240" w:lineRule="auto"/>
        <w:jc w:val="both"/>
        <w:rPr>
          <w:rFonts w:ascii="Times New Roman" w:eastAsia="Times New Roman" w:hAnsi="Times New Roman" w:cs="Times New Roman"/>
          <w:color w:val="666666"/>
          <w:spacing w:val="2"/>
          <w:sz w:val="24"/>
          <w:szCs w:val="24"/>
        </w:rPr>
      </w:pPr>
    </w:p>
    <w:p w:rsidR="00410A04" w:rsidRPr="00410A04" w:rsidRDefault="00410A04" w:rsidP="005533AD">
      <w:pPr>
        <w:spacing w:after="0" w:line="240" w:lineRule="auto"/>
        <w:jc w:val="both"/>
        <w:rPr>
          <w:rFonts w:ascii="Times New Roman" w:eastAsia="Times New Roman" w:hAnsi="Times New Roman" w:cs="Times New Roman"/>
          <w:sz w:val="24"/>
          <w:szCs w:val="24"/>
        </w:rPr>
      </w:pPr>
      <w:r w:rsidRPr="005533AD">
        <w:rPr>
          <w:rFonts w:ascii="Times New Roman" w:eastAsia="Times New Roman" w:hAnsi="Times New Roman" w:cs="Times New Roman"/>
          <w:b/>
          <w:bCs/>
          <w:color w:val="666666"/>
          <w:spacing w:val="2"/>
          <w:sz w:val="24"/>
          <w:szCs w:val="24"/>
        </w:rPr>
        <w:t>Applications</w:t>
      </w:r>
      <w:bookmarkStart w:id="0" w:name="_GoBack"/>
      <w:bookmarkEnd w:id="0"/>
      <w:r w:rsidRPr="005533AD">
        <w:rPr>
          <w:rFonts w:ascii="Times New Roman" w:eastAsia="Times New Roman" w:hAnsi="Times New Roman" w:cs="Times New Roman"/>
          <w:b/>
          <w:bCs/>
          <w:color w:val="666666"/>
          <w:spacing w:val="2"/>
          <w:sz w:val="24"/>
          <w:szCs w:val="24"/>
        </w:rPr>
        <w:t>: </w:t>
      </w:r>
      <w:r w:rsidRPr="00410A04">
        <w:rPr>
          <w:rFonts w:ascii="Times New Roman" w:eastAsia="Times New Roman" w:hAnsi="Times New Roman" w:cs="Times New Roman"/>
          <w:color w:val="666666"/>
          <w:spacing w:val="2"/>
          <w:sz w:val="24"/>
          <w:szCs w:val="24"/>
        </w:rPr>
        <w:t>This research can be used for universities, teachers, and students.</w:t>
      </w:r>
    </w:p>
    <w:p w:rsidR="00410A04" w:rsidRPr="00410A04" w:rsidRDefault="00410A04" w:rsidP="005533AD">
      <w:pPr>
        <w:spacing w:after="0" w:line="240" w:lineRule="auto"/>
        <w:jc w:val="both"/>
        <w:rPr>
          <w:rFonts w:ascii="Times New Roman" w:eastAsia="Times New Roman" w:hAnsi="Times New Roman" w:cs="Times New Roman"/>
          <w:sz w:val="24"/>
          <w:szCs w:val="24"/>
        </w:rPr>
      </w:pPr>
      <w:r w:rsidRPr="00410A04">
        <w:rPr>
          <w:rFonts w:ascii="Times New Roman" w:eastAsia="Times New Roman" w:hAnsi="Times New Roman" w:cs="Times New Roman"/>
          <w:color w:val="666666"/>
          <w:spacing w:val="2"/>
          <w:sz w:val="24"/>
          <w:szCs w:val="24"/>
        </w:rPr>
        <w:br/>
      </w:r>
      <w:r w:rsidRPr="005533AD">
        <w:rPr>
          <w:rFonts w:ascii="Times New Roman" w:eastAsia="Times New Roman" w:hAnsi="Times New Roman" w:cs="Times New Roman"/>
          <w:b/>
          <w:bCs/>
          <w:color w:val="666666"/>
          <w:spacing w:val="2"/>
          <w:sz w:val="24"/>
          <w:szCs w:val="24"/>
        </w:rPr>
        <w:t>Novelty/Originality: </w:t>
      </w:r>
      <w:r w:rsidRPr="00410A04">
        <w:rPr>
          <w:rFonts w:ascii="Times New Roman" w:eastAsia="Times New Roman" w:hAnsi="Times New Roman" w:cs="Times New Roman"/>
          <w:color w:val="666666"/>
          <w:spacing w:val="2"/>
          <w:sz w:val="24"/>
          <w:szCs w:val="24"/>
        </w:rPr>
        <w:t>In this research, the model of the Conscious Use of Code-Switching to Improve Fluency in Spoken English of Bangladeshi Students is presented in a comprehensive and complete manner.</w:t>
      </w:r>
    </w:p>
    <w:p w:rsidR="00410A04" w:rsidRPr="005533AD" w:rsidRDefault="00410A04" w:rsidP="005533AD">
      <w:pPr>
        <w:spacing w:before="150" w:after="150" w:line="240" w:lineRule="auto"/>
        <w:jc w:val="both"/>
        <w:rPr>
          <w:rFonts w:ascii="Times New Roman" w:eastAsia="Times New Roman" w:hAnsi="Times New Roman" w:cs="Times New Roman"/>
          <w:b/>
          <w:color w:val="4C4C4C"/>
          <w:sz w:val="24"/>
          <w:szCs w:val="24"/>
        </w:rPr>
      </w:pPr>
    </w:p>
    <w:p w:rsidR="001C5DE9" w:rsidRPr="005533AD" w:rsidRDefault="001C5DE9" w:rsidP="005533AD">
      <w:pPr>
        <w:spacing w:before="150" w:after="150" w:line="240" w:lineRule="auto"/>
        <w:jc w:val="both"/>
        <w:rPr>
          <w:rFonts w:ascii="Times New Roman" w:hAnsi="Times New Roman" w:cs="Times New Roman"/>
          <w:b/>
          <w:bCs/>
          <w:color w:val="4C4C4C"/>
          <w:sz w:val="24"/>
          <w:szCs w:val="24"/>
          <w:shd w:val="clear" w:color="auto" w:fill="FFFFFF"/>
        </w:rPr>
      </w:pPr>
      <w:r w:rsidRPr="005533AD">
        <w:rPr>
          <w:rFonts w:ascii="Times New Roman" w:hAnsi="Times New Roman" w:cs="Times New Roman"/>
          <w:b/>
          <w:bCs/>
          <w:color w:val="4C4C4C"/>
          <w:sz w:val="24"/>
          <w:szCs w:val="24"/>
          <w:shd w:val="clear" w:color="auto" w:fill="FFFFFF"/>
        </w:rPr>
        <w:t>Conference / Journal Link:</w:t>
      </w:r>
    </w:p>
    <w:bookmarkStart w:id="1" w:name="cj_link"/>
    <w:p w:rsidR="00410A04" w:rsidRPr="005533AD" w:rsidRDefault="00410A04" w:rsidP="005533AD">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533AD">
        <w:rPr>
          <w:rFonts w:ascii="Times New Roman" w:hAnsi="Times New Roman" w:cs="Times New Roman"/>
          <w:color w:val="2E74B5" w:themeColor="accent1" w:themeShade="BF"/>
          <w:sz w:val="24"/>
          <w:szCs w:val="24"/>
        </w:rPr>
        <w:fldChar w:fldCharType="begin"/>
      </w:r>
      <w:r w:rsidRPr="005533AD">
        <w:rPr>
          <w:rFonts w:ascii="Times New Roman" w:hAnsi="Times New Roman" w:cs="Times New Roman"/>
          <w:color w:val="2E74B5" w:themeColor="accent1" w:themeShade="BF"/>
          <w:sz w:val="24"/>
          <w:szCs w:val="24"/>
        </w:rPr>
        <w:instrText xml:space="preserve"> HYPERLINK "https://giapjournals.com/hssr/article/view/hssr.2019.7645" \t "_blank" </w:instrText>
      </w:r>
      <w:r w:rsidRPr="005533AD">
        <w:rPr>
          <w:rFonts w:ascii="Times New Roman" w:hAnsi="Times New Roman" w:cs="Times New Roman"/>
          <w:color w:val="2E74B5" w:themeColor="accent1" w:themeShade="BF"/>
          <w:sz w:val="24"/>
          <w:szCs w:val="24"/>
        </w:rPr>
        <w:fldChar w:fldCharType="separate"/>
      </w:r>
      <w:r w:rsidRPr="005533AD">
        <w:rPr>
          <w:rStyle w:val="Hyperlink"/>
          <w:rFonts w:ascii="Times New Roman" w:hAnsi="Times New Roman" w:cs="Times New Roman"/>
          <w:color w:val="2E74B5" w:themeColor="accent1" w:themeShade="BF"/>
          <w:sz w:val="24"/>
          <w:szCs w:val="24"/>
          <w:u w:val="none"/>
          <w:shd w:val="clear" w:color="auto" w:fill="FFFFFF"/>
        </w:rPr>
        <w:t>https://giapjournals.com/hssr/article/view/hssr.2019.7645</w:t>
      </w:r>
      <w:r w:rsidRPr="005533AD">
        <w:rPr>
          <w:rFonts w:ascii="Times New Roman" w:hAnsi="Times New Roman" w:cs="Times New Roman"/>
          <w:color w:val="2E74B5" w:themeColor="accent1" w:themeShade="BF"/>
          <w:sz w:val="24"/>
          <w:szCs w:val="24"/>
        </w:rPr>
        <w:fldChar w:fldCharType="end"/>
      </w:r>
      <w:bookmarkEnd w:id="1"/>
    </w:p>
    <w:p w:rsidR="001C5DE9" w:rsidRPr="005533AD" w:rsidRDefault="001C5DE9" w:rsidP="005533AD">
      <w:pPr>
        <w:spacing w:before="150"/>
        <w:jc w:val="both"/>
        <w:rPr>
          <w:rFonts w:ascii="Times New Roman" w:hAnsi="Times New Roman" w:cs="Times New Roman"/>
          <w:b/>
          <w:color w:val="4C4C4C"/>
          <w:sz w:val="24"/>
          <w:szCs w:val="24"/>
        </w:rPr>
      </w:pPr>
    </w:p>
    <w:p w:rsidR="00D0008B" w:rsidRPr="005533AD" w:rsidRDefault="00D0008B" w:rsidP="005533AD">
      <w:pPr>
        <w:jc w:val="both"/>
        <w:rPr>
          <w:rFonts w:ascii="Times New Roman" w:hAnsi="Times New Roman" w:cs="Times New Roman"/>
          <w:sz w:val="24"/>
          <w:szCs w:val="24"/>
        </w:rPr>
      </w:pPr>
    </w:p>
    <w:sectPr w:rsidR="00D0008B" w:rsidRPr="00553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55289"/>
    <w:rsid w:val="003B3CD4"/>
    <w:rsid w:val="003C0050"/>
    <w:rsid w:val="00410A04"/>
    <w:rsid w:val="00453319"/>
    <w:rsid w:val="0051294E"/>
    <w:rsid w:val="005533AD"/>
    <w:rsid w:val="00614BEB"/>
    <w:rsid w:val="006F2FC2"/>
    <w:rsid w:val="00812485"/>
    <w:rsid w:val="00830232"/>
    <w:rsid w:val="00982A47"/>
    <w:rsid w:val="0099662C"/>
    <w:rsid w:val="00C810D7"/>
    <w:rsid w:val="00D0008B"/>
    <w:rsid w:val="00DD36F7"/>
    <w:rsid w:val="00E20B35"/>
    <w:rsid w:val="00E40599"/>
    <w:rsid w:val="00F962A9"/>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410A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0A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54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2022-01-23T04:31:00Z</dcterms:created>
  <dcterms:modified xsi:type="dcterms:W3CDTF">2022-01-26T05:33:00Z</dcterms:modified>
</cp:coreProperties>
</file>