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E98" w:rsidRDefault="00CA5E98" w:rsidP="001C5DE9">
      <w:pPr>
        <w:spacing w:before="150" w:after="150" w:line="240" w:lineRule="auto"/>
        <w:jc w:val="both"/>
        <w:rPr>
          <w:rFonts w:ascii="Times New Roman" w:eastAsia="Times New Roman" w:hAnsi="Times New Roman" w:cs="Times New Roman"/>
          <w:color w:val="4C4C4C"/>
          <w:sz w:val="40"/>
          <w:szCs w:val="40"/>
        </w:rPr>
      </w:pPr>
      <w:r w:rsidRPr="00CA5E98">
        <w:rPr>
          <w:rFonts w:ascii="Times New Roman" w:eastAsia="Times New Roman" w:hAnsi="Times New Roman" w:cs="Times New Roman"/>
          <w:color w:val="4C4C4C"/>
          <w:sz w:val="40"/>
          <w:szCs w:val="40"/>
        </w:rPr>
        <w:t>Corporate Governance Reporting in Bangladesh</w:t>
      </w:r>
    </w:p>
    <w:p w:rsidR="0096776C" w:rsidRDefault="0096776C" w:rsidP="001C5DE9">
      <w:pPr>
        <w:spacing w:before="150" w:after="150" w:line="240" w:lineRule="auto"/>
        <w:jc w:val="both"/>
        <w:rPr>
          <w:rFonts w:ascii="Times New Roman" w:eastAsia="Times New Roman" w:hAnsi="Times New Roman" w:cs="Times New Roman"/>
          <w:color w:val="4C4C4C"/>
          <w:sz w:val="40"/>
          <w:szCs w:val="40"/>
        </w:rPr>
      </w:pPr>
    </w:p>
    <w:p w:rsidR="00CA5E98" w:rsidRPr="00100CFC" w:rsidRDefault="00100CFC" w:rsidP="001C5DE9">
      <w:pPr>
        <w:spacing w:before="150" w:after="150" w:line="240" w:lineRule="auto"/>
        <w:jc w:val="both"/>
        <w:rPr>
          <w:rFonts w:ascii="Times New Roman" w:hAnsi="Times New Roman" w:cs="Times New Roman"/>
          <w:color w:val="2E74B5" w:themeColor="accent1" w:themeShade="BF"/>
          <w:sz w:val="24"/>
          <w:szCs w:val="24"/>
        </w:rPr>
      </w:pPr>
      <w:hyperlink r:id="rId4" w:history="1">
        <w:proofErr w:type="spellStart"/>
        <w:r w:rsidRPr="00100CFC">
          <w:rPr>
            <w:rStyle w:val="given-names"/>
            <w:rFonts w:ascii="Times New Roman" w:hAnsi="Times New Roman" w:cs="Times New Roman"/>
            <w:color w:val="2E74B5" w:themeColor="accent1" w:themeShade="BF"/>
            <w:sz w:val="24"/>
            <w:szCs w:val="24"/>
            <w:shd w:val="clear" w:color="auto" w:fill="FFFFFF"/>
          </w:rPr>
          <w:t>Abdur</w:t>
        </w:r>
        <w:proofErr w:type="spellEnd"/>
        <w:r w:rsidRPr="00100CFC">
          <w:rPr>
            <w:rStyle w:val="Hyperlink"/>
            <w:rFonts w:ascii="Times New Roman" w:hAnsi="Times New Roman" w:cs="Times New Roman"/>
            <w:color w:val="2E74B5" w:themeColor="accent1" w:themeShade="BF"/>
            <w:sz w:val="24"/>
            <w:szCs w:val="24"/>
            <w:u w:val="none"/>
            <w:shd w:val="clear" w:color="auto" w:fill="FFFFFF"/>
          </w:rPr>
          <w:t> </w:t>
        </w:r>
      </w:hyperlink>
      <w:r w:rsidRPr="00100CFC">
        <w:rPr>
          <w:rFonts w:ascii="Times New Roman" w:hAnsi="Times New Roman" w:cs="Times New Roman"/>
          <w:color w:val="2E74B5" w:themeColor="accent1" w:themeShade="BF"/>
          <w:sz w:val="24"/>
          <w:szCs w:val="24"/>
        </w:rPr>
        <w:t xml:space="preserve"> </w:t>
      </w:r>
      <w:hyperlink r:id="rId5" w:tooltip="Abdur Rouf" w:history="1">
        <w:proofErr w:type="spellStart"/>
        <w:r w:rsidR="00CA5E98" w:rsidRPr="00100CFC">
          <w:rPr>
            <w:rStyle w:val="Hyperlink"/>
            <w:rFonts w:ascii="Times New Roman" w:hAnsi="Times New Roman" w:cs="Times New Roman"/>
            <w:color w:val="2E74B5" w:themeColor="accent1" w:themeShade="BF"/>
            <w:sz w:val="24"/>
            <w:szCs w:val="24"/>
            <w:u w:val="none"/>
            <w:shd w:val="clear" w:color="auto" w:fill="FFFFFF"/>
          </w:rPr>
          <w:t>Rouf</w:t>
        </w:r>
        <w:proofErr w:type="spellEnd"/>
        <w:r w:rsidR="00CA5E98" w:rsidRPr="00100CFC">
          <w:rPr>
            <w:rStyle w:val="Hyperlink"/>
            <w:rFonts w:ascii="Times New Roman" w:hAnsi="Times New Roman" w:cs="Times New Roman"/>
            <w:color w:val="2E74B5" w:themeColor="accent1" w:themeShade="BF"/>
            <w:sz w:val="24"/>
            <w:szCs w:val="24"/>
            <w:u w:val="none"/>
            <w:shd w:val="clear" w:color="auto" w:fill="FFFFFF"/>
          </w:rPr>
          <w:t xml:space="preserve">, </w:t>
        </w:r>
      </w:hyperlink>
      <w:r w:rsidRPr="00100CFC">
        <w:rPr>
          <w:rFonts w:ascii="Times New Roman" w:hAnsi="Times New Roman" w:cs="Times New Roman"/>
          <w:color w:val="2E74B5" w:themeColor="accent1" w:themeShade="BF"/>
          <w:sz w:val="24"/>
          <w:szCs w:val="24"/>
        </w:rPr>
        <w:t xml:space="preserve"> M.</w:t>
      </w:r>
      <w:r w:rsidR="00CA5E98" w:rsidRPr="00100CFC">
        <w:rPr>
          <w:rFonts w:ascii="Times New Roman" w:hAnsi="Times New Roman" w:cs="Times New Roman"/>
          <w:color w:val="2E74B5" w:themeColor="accent1" w:themeShade="BF"/>
          <w:sz w:val="24"/>
          <w:szCs w:val="24"/>
          <w:shd w:val="clear" w:color="auto" w:fill="FFFFFF"/>
        </w:rPr>
        <w:t xml:space="preserve"> </w:t>
      </w:r>
      <w:hyperlink r:id="rId6" w:tooltip="M. Akhtaruddin" w:history="1">
        <w:proofErr w:type="spellStart"/>
        <w:r w:rsidR="00CA5E98" w:rsidRPr="00100CFC">
          <w:rPr>
            <w:rStyle w:val="Hyperlink"/>
            <w:rFonts w:ascii="Times New Roman" w:hAnsi="Times New Roman" w:cs="Times New Roman"/>
            <w:color w:val="2E74B5" w:themeColor="accent1" w:themeShade="BF"/>
            <w:sz w:val="24"/>
            <w:szCs w:val="24"/>
            <w:u w:val="none"/>
            <w:shd w:val="clear" w:color="auto" w:fill="FFFFFF"/>
          </w:rPr>
          <w:t>Akhtaruddin</w:t>
        </w:r>
        <w:proofErr w:type="spellEnd"/>
        <w:r w:rsidR="00CA5E98" w:rsidRPr="00100CFC">
          <w:rPr>
            <w:rStyle w:val="Hyperlink"/>
            <w:rFonts w:ascii="Times New Roman" w:hAnsi="Times New Roman" w:cs="Times New Roman"/>
            <w:color w:val="2E74B5" w:themeColor="accent1" w:themeShade="BF"/>
            <w:sz w:val="24"/>
            <w:szCs w:val="24"/>
            <w:u w:val="none"/>
            <w:shd w:val="clear" w:color="auto" w:fill="FFFFFF"/>
          </w:rPr>
          <w:t xml:space="preserve">, </w:t>
        </w:r>
      </w:hyperlink>
    </w:p>
    <w:p w:rsidR="00CA5E98" w:rsidRPr="00CA5E98" w:rsidRDefault="00CA5E98" w:rsidP="001C5DE9">
      <w:pPr>
        <w:spacing w:before="150" w:after="150" w:line="240" w:lineRule="auto"/>
        <w:jc w:val="both"/>
        <w:rPr>
          <w:rFonts w:ascii="Times New Roman" w:eastAsia="Times New Roman" w:hAnsi="Times New Roman" w:cs="Times New Roman"/>
          <w:b/>
          <w:color w:val="2E74B5" w:themeColor="accent1" w:themeShade="BF"/>
          <w:sz w:val="24"/>
          <w:szCs w:val="24"/>
        </w:rPr>
      </w:pPr>
    </w:p>
    <w:p w:rsidR="001C5DE9" w:rsidRPr="00CA5E98" w:rsidRDefault="001C5DE9" w:rsidP="00CA5E98">
      <w:pPr>
        <w:spacing w:before="150" w:after="150" w:line="240" w:lineRule="auto"/>
        <w:jc w:val="both"/>
        <w:rPr>
          <w:rFonts w:ascii="Times New Roman" w:eastAsia="Times New Roman" w:hAnsi="Times New Roman" w:cs="Times New Roman"/>
          <w:b/>
          <w:color w:val="4C4C4C"/>
          <w:sz w:val="24"/>
          <w:szCs w:val="24"/>
        </w:rPr>
      </w:pPr>
      <w:r w:rsidRPr="00CA5E98">
        <w:rPr>
          <w:rFonts w:ascii="Times New Roman" w:eastAsia="Times New Roman" w:hAnsi="Times New Roman" w:cs="Times New Roman"/>
          <w:b/>
          <w:color w:val="4C4C4C"/>
          <w:sz w:val="24"/>
          <w:szCs w:val="24"/>
        </w:rPr>
        <w:t>Abstract:</w:t>
      </w:r>
    </w:p>
    <w:p w:rsidR="00696BDF" w:rsidRDefault="00CA5E98" w:rsidP="00283C78">
      <w:pPr>
        <w:spacing w:before="150" w:after="150" w:line="240" w:lineRule="auto"/>
        <w:jc w:val="both"/>
        <w:rPr>
          <w:rFonts w:ascii="Times New Roman" w:hAnsi="Times New Roman" w:cs="Times New Roman"/>
          <w:color w:val="4C4C4C"/>
          <w:sz w:val="24"/>
          <w:szCs w:val="24"/>
          <w:shd w:val="clear" w:color="auto" w:fill="FFFFFF"/>
        </w:rPr>
      </w:pPr>
      <w:r w:rsidRPr="00CA5E98">
        <w:rPr>
          <w:rFonts w:ascii="Times New Roman" w:hAnsi="Times New Roman" w:cs="Times New Roman"/>
          <w:color w:val="4C4C4C"/>
          <w:sz w:val="24"/>
          <w:szCs w:val="24"/>
          <w:shd w:val="clear" w:color="auto" w:fill="FFFFFF"/>
        </w:rPr>
        <w:t>Purpose</w:t>
      </w:r>
    </w:p>
    <w:p w:rsidR="00CA5E98" w:rsidRPr="00CA5E98" w:rsidRDefault="00CA5E98" w:rsidP="00283C78">
      <w:pPr>
        <w:spacing w:before="150" w:after="150" w:line="240" w:lineRule="auto"/>
        <w:jc w:val="both"/>
        <w:rPr>
          <w:rFonts w:ascii="Times New Roman" w:eastAsia="Times New Roman" w:hAnsi="Times New Roman" w:cs="Times New Roman"/>
          <w:b/>
          <w:color w:val="4C4C4C"/>
          <w:sz w:val="24"/>
          <w:szCs w:val="24"/>
        </w:rPr>
      </w:pP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This study aims to investigate the extent and nature of corporate governance reporting (CGR) in corporate annual reports of Bangladesh. The aim of the study to test empirically the relationship between corporate governance (CG) and CGR by the listed companies in Bangladesh. The CG examined the proportion of independent directors, board leadership structure, board size, ownership structure and audit committee size.</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Design/methodology/approach</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 xml:space="preserve">The study is based on a sample of 86 listed non-financial companies in Dhaka stock exchanges (DSE) from the period of 2015-2017 and all the companies are selected by judgment Sampling. The study has been used as an </w:t>
      </w:r>
      <w:proofErr w:type="spellStart"/>
      <w:r w:rsidRPr="00CA5E98">
        <w:rPr>
          <w:rFonts w:ascii="Times New Roman" w:hAnsi="Times New Roman" w:cs="Times New Roman"/>
          <w:color w:val="4C4C4C"/>
          <w:sz w:val="24"/>
          <w:szCs w:val="24"/>
          <w:shd w:val="clear" w:color="auto" w:fill="FFFFFF"/>
        </w:rPr>
        <w:t>unweighted</w:t>
      </w:r>
      <w:proofErr w:type="spellEnd"/>
      <w:r w:rsidRPr="00CA5E98">
        <w:rPr>
          <w:rFonts w:ascii="Times New Roman" w:hAnsi="Times New Roman" w:cs="Times New Roman"/>
          <w:color w:val="4C4C4C"/>
          <w:sz w:val="24"/>
          <w:szCs w:val="24"/>
          <w:shd w:val="clear" w:color="auto" w:fill="FFFFFF"/>
        </w:rPr>
        <w:t xml:space="preserve"> relative disclosure index for measuring CGR.</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Findings</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The empirical results indicate that board leadership structure (BLS) is positively associated with the level of CGR. In contrast, the percentage of equity owned by the insiders to all equity of the firm is negatively associated with the level of CGR.</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Practical implications</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 xml:space="preserve">Findings of this study have important implications for regulatory authority, enforcement agencies such as Institute of Cost and Management Accountants of Bangladesh, Institute of Chartered Accountants of Bangladesh, Bangladesh Securities and Exchange Commission, DSE, policymakers, shareholders and others who have an </w:t>
      </w:r>
      <w:proofErr w:type="spellStart"/>
      <w:r w:rsidRPr="00CA5E98">
        <w:rPr>
          <w:rFonts w:ascii="Times New Roman" w:hAnsi="Times New Roman" w:cs="Times New Roman"/>
          <w:color w:val="4C4C4C"/>
          <w:sz w:val="24"/>
          <w:szCs w:val="24"/>
          <w:shd w:val="clear" w:color="auto" w:fill="FFFFFF"/>
        </w:rPr>
        <w:t>interemaammast</w:t>
      </w:r>
      <w:proofErr w:type="spellEnd"/>
      <w:r w:rsidRPr="00CA5E98">
        <w:rPr>
          <w:rFonts w:ascii="Times New Roman" w:hAnsi="Times New Roman" w:cs="Times New Roman"/>
          <w:color w:val="4C4C4C"/>
          <w:sz w:val="24"/>
          <w:szCs w:val="24"/>
          <w:shd w:val="clear" w:color="auto" w:fill="FFFFFF"/>
        </w:rPr>
        <w:t xml:space="preserve"> in CG.</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Originality/value</w:t>
      </w:r>
      <w:r w:rsidRPr="00CA5E98">
        <w:rPr>
          <w:rFonts w:ascii="Times New Roman" w:hAnsi="Times New Roman" w:cs="Times New Roman"/>
          <w:color w:val="4C4C4C"/>
          <w:sz w:val="24"/>
          <w:szCs w:val="24"/>
        </w:rPr>
        <w:br/>
      </w:r>
      <w:r w:rsidRPr="00CA5E98">
        <w:rPr>
          <w:rFonts w:ascii="Times New Roman" w:hAnsi="Times New Roman" w:cs="Times New Roman"/>
          <w:color w:val="4C4C4C"/>
          <w:sz w:val="24"/>
          <w:szCs w:val="24"/>
          <w:shd w:val="clear" w:color="auto" w:fill="FFFFFF"/>
        </w:rPr>
        <w:t>finding</w:t>
      </w:r>
      <w:r w:rsidRPr="00CA5E98">
        <w:rPr>
          <w:rFonts w:ascii="Times New Roman" w:hAnsi="Times New Roman" w:cs="Times New Roman"/>
          <w:color w:val="4C4C4C"/>
          <w:sz w:val="24"/>
          <w:szCs w:val="24"/>
          <w:shd w:val="clear" w:color="auto" w:fill="FFFFFF"/>
        </w:rPr>
        <w:t xml:space="preserve"> of the study will be a benchmark for policymakers and implementers in torching the avenues of improvement in raising the level of CG reporting.</w:t>
      </w:r>
    </w:p>
    <w:p w:rsidR="00CA5E98" w:rsidRPr="00CA5E98" w:rsidRDefault="00CA5E98" w:rsidP="00283C78">
      <w:pPr>
        <w:spacing w:before="150" w:after="150" w:line="240" w:lineRule="auto"/>
        <w:jc w:val="both"/>
        <w:rPr>
          <w:rFonts w:ascii="Times New Roman" w:hAnsi="Times New Roman" w:cs="Times New Roman"/>
          <w:b/>
          <w:bCs/>
          <w:color w:val="4C4C4C"/>
          <w:sz w:val="24"/>
          <w:szCs w:val="24"/>
          <w:shd w:val="clear" w:color="auto" w:fill="FFFFFF"/>
        </w:rPr>
      </w:pPr>
    </w:p>
    <w:p w:rsidR="001C5DE9" w:rsidRPr="00CA5E98" w:rsidRDefault="001C5DE9" w:rsidP="00CA5E98">
      <w:pPr>
        <w:spacing w:before="150" w:after="150" w:line="240" w:lineRule="auto"/>
        <w:jc w:val="both"/>
        <w:rPr>
          <w:rFonts w:ascii="Times New Roman" w:hAnsi="Times New Roman" w:cs="Times New Roman"/>
          <w:b/>
          <w:bCs/>
          <w:color w:val="4C4C4C"/>
          <w:sz w:val="24"/>
          <w:szCs w:val="24"/>
          <w:shd w:val="clear" w:color="auto" w:fill="FFFFFF"/>
        </w:rPr>
      </w:pPr>
      <w:r w:rsidRPr="00CA5E98">
        <w:rPr>
          <w:rFonts w:ascii="Times New Roman" w:hAnsi="Times New Roman" w:cs="Times New Roman"/>
          <w:b/>
          <w:bCs/>
          <w:color w:val="4C4C4C"/>
          <w:sz w:val="24"/>
          <w:szCs w:val="24"/>
          <w:shd w:val="clear" w:color="auto" w:fill="FFFFFF"/>
        </w:rPr>
        <w:t>Conference / Journal Link:</w:t>
      </w:r>
    </w:p>
    <w:p w:rsidR="00CA5E98" w:rsidRPr="00CA5E98" w:rsidRDefault="00CA5E98" w:rsidP="00CA5E98">
      <w:pPr>
        <w:spacing w:before="150"/>
        <w:jc w:val="both"/>
        <w:rPr>
          <w:rFonts w:ascii="Times New Roman" w:hAnsi="Times New Roman" w:cs="Times New Roman"/>
          <w:color w:val="4C4C4C"/>
          <w:sz w:val="24"/>
          <w:szCs w:val="24"/>
        </w:rPr>
      </w:pPr>
      <w:hyperlink r:id="rId7" w:history="1">
        <w:r w:rsidRPr="00CA5E98">
          <w:rPr>
            <w:rStyle w:val="Hyperlink"/>
            <w:rFonts w:ascii="Times New Roman" w:hAnsi="Times New Roman" w:cs="Times New Roman"/>
            <w:sz w:val="24"/>
            <w:szCs w:val="24"/>
            <w:u w:val="none"/>
          </w:rPr>
          <w:t>https://www.emerald.com/insight/content/doi/10.1108/IJOES-02-2019-0035/full/html?skipTrack</w:t>
        </w:r>
      </w:hyperlink>
    </w:p>
    <w:p w:rsidR="00CA5E98" w:rsidRPr="00CA5E98" w:rsidRDefault="00CA5E98" w:rsidP="00CA5E98">
      <w:pPr>
        <w:spacing w:before="150" w:after="150" w:line="240" w:lineRule="auto"/>
        <w:jc w:val="both"/>
        <w:rPr>
          <w:rFonts w:ascii="Times New Roman" w:hAnsi="Times New Roman" w:cs="Times New Roman"/>
          <w:b/>
          <w:bCs/>
          <w:color w:val="4C4C4C"/>
          <w:sz w:val="24"/>
          <w:szCs w:val="24"/>
          <w:shd w:val="clear" w:color="auto" w:fill="FFFFFF"/>
        </w:rPr>
      </w:pPr>
    </w:p>
    <w:p w:rsidR="001C5DE9" w:rsidRPr="00CA5E98" w:rsidRDefault="001C5DE9" w:rsidP="00CA5E98">
      <w:pPr>
        <w:spacing w:before="150"/>
        <w:jc w:val="both"/>
        <w:rPr>
          <w:rFonts w:ascii="Times New Roman" w:hAnsi="Times New Roman" w:cs="Times New Roman"/>
          <w:b/>
          <w:color w:val="4C4C4C"/>
          <w:sz w:val="24"/>
          <w:szCs w:val="24"/>
        </w:rPr>
      </w:pPr>
      <w:r w:rsidRPr="00CA5E98">
        <w:rPr>
          <w:rFonts w:ascii="Times New Roman" w:hAnsi="Times New Roman" w:cs="Times New Roman"/>
          <w:b/>
          <w:color w:val="4C4C4C"/>
          <w:sz w:val="24"/>
          <w:szCs w:val="24"/>
        </w:rPr>
        <w:t>DOI:</w:t>
      </w:r>
    </w:p>
    <w:p w:rsidR="00D0008B" w:rsidRPr="00CA5E98" w:rsidRDefault="00CA5E98" w:rsidP="003E7BCC">
      <w:pPr>
        <w:spacing w:before="150"/>
        <w:jc w:val="both"/>
        <w:rPr>
          <w:rFonts w:ascii="Times New Roman" w:hAnsi="Times New Roman" w:cs="Times New Roman"/>
          <w:sz w:val="24"/>
          <w:szCs w:val="24"/>
        </w:rPr>
      </w:pPr>
      <w:hyperlink r:id="rId8" w:tooltip="DOI: https://doi.org/10.1108/IJOES-02-2019-0035" w:history="1">
        <w:r w:rsidRPr="00CA5E98">
          <w:rPr>
            <w:rStyle w:val="Hyperlink"/>
            <w:rFonts w:ascii="Times New Roman" w:hAnsi="Times New Roman" w:cs="Times New Roman"/>
            <w:color w:val="2E74B5" w:themeColor="accent1" w:themeShade="BF"/>
            <w:sz w:val="24"/>
            <w:szCs w:val="24"/>
            <w:u w:val="none"/>
          </w:rPr>
          <w:t>https://doi.org/10.1108/IJOES-02-2019-0035</w:t>
        </w:r>
      </w:hyperlink>
      <w:bookmarkStart w:id="0" w:name="_GoBack"/>
      <w:bookmarkEnd w:id="0"/>
    </w:p>
    <w:sectPr w:rsidR="00D0008B" w:rsidRPr="00CA5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00CFC"/>
    <w:rsid w:val="0014543D"/>
    <w:rsid w:val="00145E3C"/>
    <w:rsid w:val="001C5DE9"/>
    <w:rsid w:val="00204521"/>
    <w:rsid w:val="00283C78"/>
    <w:rsid w:val="003C0050"/>
    <w:rsid w:val="003E7BCC"/>
    <w:rsid w:val="00452687"/>
    <w:rsid w:val="004D55BF"/>
    <w:rsid w:val="0051294E"/>
    <w:rsid w:val="00614BEB"/>
    <w:rsid w:val="00696BDF"/>
    <w:rsid w:val="006F2FC2"/>
    <w:rsid w:val="00812485"/>
    <w:rsid w:val="009043A4"/>
    <w:rsid w:val="0096776C"/>
    <w:rsid w:val="00982A47"/>
    <w:rsid w:val="0099662C"/>
    <w:rsid w:val="009B3127"/>
    <w:rsid w:val="009E0C23"/>
    <w:rsid w:val="00C02829"/>
    <w:rsid w:val="00CA5E98"/>
    <w:rsid w:val="00D0008B"/>
    <w:rsid w:val="00E20B35"/>
    <w:rsid w:val="00F87024"/>
    <w:rsid w:val="00F962A9"/>
    <w:rsid w:val="00FD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given-names">
    <w:name w:val="given-names"/>
    <w:basedOn w:val="DefaultParagraphFont"/>
    <w:rsid w:val="00100CFC"/>
  </w:style>
  <w:style w:type="character" w:customStyle="1" w:styleId="surname">
    <w:name w:val="surname"/>
    <w:basedOn w:val="DefaultParagraphFont"/>
    <w:rsid w:val="00100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32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OES-02-2019-0035" TargetMode="External"/><Relationship Id="rId3" Type="http://schemas.openxmlformats.org/officeDocument/2006/relationships/webSettings" Target="webSettings.xml"/><Relationship Id="rId7" Type="http://schemas.openxmlformats.org/officeDocument/2006/relationships/hyperlink" Target="https://www.emerald.com/insight/content/doi/10.1108/IJOES-02-2019-0035/full/html?skipTrac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M.%20Akhtaruddin" TargetMode="External"/><Relationship Id="rId5" Type="http://schemas.openxmlformats.org/officeDocument/2006/relationships/hyperlink" Target="https://www.emerald.com/insight/search?q=Abdur%20Rouf" TargetMode="External"/><Relationship Id="rId10" Type="http://schemas.openxmlformats.org/officeDocument/2006/relationships/theme" Target="theme/theme1.xml"/><Relationship Id="rId4" Type="http://schemas.openxmlformats.org/officeDocument/2006/relationships/hyperlink" Target="https://www.emerald.com/insight/search?q=Abdur%20Rou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60</cp:revision>
  <dcterms:created xsi:type="dcterms:W3CDTF">2022-01-27T03:33:00Z</dcterms:created>
  <dcterms:modified xsi:type="dcterms:W3CDTF">2022-01-27T04:18:00Z</dcterms:modified>
</cp:coreProperties>
</file>