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FCB" w:rsidRDefault="00D23FCB" w:rsidP="00D23FCB">
      <w:pPr>
        <w:spacing w:before="150" w:after="150" w:line="240" w:lineRule="auto"/>
        <w:rPr>
          <w:rFonts w:ascii="Times New Roman" w:eastAsia="Times New Roman" w:hAnsi="Times New Roman" w:cs="Times New Roman"/>
          <w:color w:val="4C4C4C"/>
          <w:sz w:val="40"/>
          <w:szCs w:val="40"/>
        </w:rPr>
      </w:pPr>
      <w:r w:rsidRPr="00D23FCB">
        <w:rPr>
          <w:rFonts w:ascii="Times New Roman" w:eastAsia="Times New Roman" w:hAnsi="Times New Roman" w:cs="Times New Roman"/>
          <w:color w:val="4C4C4C"/>
          <w:sz w:val="40"/>
          <w:szCs w:val="40"/>
        </w:rPr>
        <w:t>Determination of Different Antioxidant Compounds from the Mangrove Plants of Pandanus Foetidus and Avicennia Officinalis</w:t>
      </w:r>
    </w:p>
    <w:p w:rsidR="00AD7894" w:rsidRPr="00D23FCB" w:rsidRDefault="00AD7894" w:rsidP="00D23FCB">
      <w:pPr>
        <w:spacing w:before="150" w:after="150" w:line="240" w:lineRule="auto"/>
        <w:rPr>
          <w:rFonts w:ascii="Times New Roman" w:eastAsia="Times New Roman" w:hAnsi="Times New Roman" w:cs="Times New Roman"/>
          <w:color w:val="4C4C4C"/>
          <w:sz w:val="40"/>
          <w:szCs w:val="40"/>
        </w:rPr>
      </w:pPr>
    </w:p>
    <w:p w:rsidR="00D23FCB" w:rsidRPr="00AD7894" w:rsidRDefault="00AD7894" w:rsidP="00AD7894">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AD7894">
        <w:rPr>
          <w:rFonts w:ascii="Times New Roman" w:hAnsi="Times New Roman" w:cs="Times New Roman"/>
          <w:color w:val="2E74B5" w:themeColor="accent1" w:themeShade="BF"/>
          <w:sz w:val="24"/>
          <w:szCs w:val="24"/>
        </w:rPr>
        <w:t>Farjana</w:t>
      </w:r>
      <w:proofErr w:type="spellEnd"/>
      <w:r w:rsidRPr="00AD7894">
        <w:rPr>
          <w:rFonts w:ascii="Times New Roman" w:hAnsi="Times New Roman" w:cs="Times New Roman"/>
          <w:color w:val="2E74B5" w:themeColor="accent1" w:themeShade="BF"/>
          <w:sz w:val="24"/>
          <w:szCs w:val="24"/>
        </w:rPr>
        <w:t xml:space="preserve"> Islam </w:t>
      </w:r>
      <w:proofErr w:type="spellStart"/>
      <w:r w:rsidRPr="00AD7894">
        <w:rPr>
          <w:rFonts w:ascii="Times New Roman" w:hAnsi="Times New Roman" w:cs="Times New Roman"/>
          <w:color w:val="2E74B5" w:themeColor="accent1" w:themeShade="BF"/>
          <w:sz w:val="24"/>
          <w:szCs w:val="24"/>
        </w:rPr>
        <w:t>Aovi</w:t>
      </w:r>
      <w:proofErr w:type="spellEnd"/>
      <w:r w:rsidRPr="00AD7894">
        <w:rPr>
          <w:rFonts w:ascii="Times New Roman" w:hAnsi="Times New Roman" w:cs="Times New Roman"/>
          <w:color w:val="2E74B5" w:themeColor="accent1" w:themeShade="BF"/>
          <w:sz w:val="24"/>
          <w:szCs w:val="24"/>
        </w:rPr>
        <w:t xml:space="preserve">, Md. </w:t>
      </w:r>
      <w:proofErr w:type="spellStart"/>
      <w:r w:rsidRPr="00AD7894">
        <w:rPr>
          <w:rFonts w:ascii="Times New Roman" w:hAnsi="Times New Roman" w:cs="Times New Roman"/>
          <w:color w:val="2E74B5" w:themeColor="accent1" w:themeShade="BF"/>
          <w:sz w:val="24"/>
          <w:szCs w:val="24"/>
        </w:rPr>
        <w:t>Mominur</w:t>
      </w:r>
      <w:proofErr w:type="spellEnd"/>
      <w:r w:rsidRPr="00AD7894">
        <w:rPr>
          <w:rFonts w:ascii="Times New Roman" w:hAnsi="Times New Roman" w:cs="Times New Roman"/>
          <w:color w:val="2E74B5" w:themeColor="accent1" w:themeShade="BF"/>
          <w:sz w:val="24"/>
          <w:szCs w:val="24"/>
        </w:rPr>
        <w:t xml:space="preserve"> Rah</w:t>
      </w:r>
      <w:bookmarkStart w:id="0" w:name="_GoBack"/>
      <w:bookmarkEnd w:id="0"/>
      <w:r w:rsidRPr="00AD7894">
        <w:rPr>
          <w:rFonts w:ascii="Times New Roman" w:hAnsi="Times New Roman" w:cs="Times New Roman"/>
          <w:color w:val="2E74B5" w:themeColor="accent1" w:themeShade="BF"/>
          <w:sz w:val="24"/>
          <w:szCs w:val="24"/>
        </w:rPr>
        <w:t>man</w:t>
      </w:r>
    </w:p>
    <w:p w:rsidR="00AD7894" w:rsidRPr="00AD7894" w:rsidRDefault="00AD7894" w:rsidP="00AD7894">
      <w:pPr>
        <w:spacing w:before="150" w:after="150" w:line="240" w:lineRule="auto"/>
        <w:jc w:val="both"/>
        <w:rPr>
          <w:rFonts w:ascii="Times New Roman" w:eastAsia="Times New Roman" w:hAnsi="Times New Roman" w:cs="Times New Roman"/>
          <w:b/>
          <w:color w:val="4C4C4C"/>
          <w:sz w:val="24"/>
          <w:szCs w:val="24"/>
        </w:rPr>
      </w:pPr>
    </w:p>
    <w:p w:rsidR="001C5DE9" w:rsidRPr="00AD7894" w:rsidRDefault="001C5DE9" w:rsidP="00AD7894">
      <w:pPr>
        <w:spacing w:before="150" w:after="150" w:line="240" w:lineRule="auto"/>
        <w:jc w:val="both"/>
        <w:rPr>
          <w:rFonts w:ascii="Times New Roman" w:eastAsia="Times New Roman" w:hAnsi="Times New Roman" w:cs="Times New Roman"/>
          <w:b/>
          <w:color w:val="4C4C4C"/>
          <w:sz w:val="24"/>
          <w:szCs w:val="24"/>
        </w:rPr>
      </w:pPr>
      <w:r w:rsidRPr="00AD7894">
        <w:rPr>
          <w:rFonts w:ascii="Times New Roman" w:eastAsia="Times New Roman" w:hAnsi="Times New Roman" w:cs="Times New Roman"/>
          <w:b/>
          <w:color w:val="4C4C4C"/>
          <w:sz w:val="24"/>
          <w:szCs w:val="24"/>
        </w:rPr>
        <w:t>Abstract:</w:t>
      </w:r>
    </w:p>
    <w:p w:rsidR="00AD7894" w:rsidRPr="00AD7894" w:rsidRDefault="00AD7894" w:rsidP="00AD7894">
      <w:pPr>
        <w:spacing w:before="150" w:after="150" w:line="240" w:lineRule="auto"/>
        <w:jc w:val="both"/>
        <w:rPr>
          <w:rFonts w:ascii="Times New Roman" w:eastAsia="Times New Roman" w:hAnsi="Times New Roman" w:cs="Times New Roman"/>
          <w:b/>
          <w:color w:val="4C4C4C"/>
          <w:sz w:val="24"/>
          <w:szCs w:val="24"/>
        </w:rPr>
      </w:pPr>
      <w:r w:rsidRPr="00AD7894">
        <w:rPr>
          <w:rFonts w:ascii="Times New Roman" w:hAnsi="Times New Roman" w:cs="Times New Roman"/>
          <w:color w:val="111111"/>
          <w:sz w:val="24"/>
          <w:szCs w:val="24"/>
          <w:shd w:val="clear" w:color="auto" w:fill="FFFFFF"/>
        </w:rPr>
        <w:t xml:space="preserve">Recently, medicinal plants have grabbed attention worldwide in the field of neurosciences for therapeutic intervention. The aim of the study was to identify and measure the total phenolic content (TPC), total flavonoids content (TFC), tannin content (TPC) and total antioxidant capacity (TAC) of the 3 </w:t>
      </w:r>
      <w:proofErr w:type="spellStart"/>
      <w:r w:rsidRPr="00AD7894">
        <w:rPr>
          <w:rFonts w:ascii="Times New Roman" w:hAnsi="Times New Roman" w:cs="Times New Roman"/>
          <w:color w:val="111111"/>
          <w:sz w:val="24"/>
          <w:szCs w:val="24"/>
          <w:shd w:val="clear" w:color="auto" w:fill="FFFFFF"/>
        </w:rPr>
        <w:t>ethanolic</w:t>
      </w:r>
      <w:proofErr w:type="spellEnd"/>
      <w:r w:rsidRPr="00AD7894">
        <w:rPr>
          <w:rFonts w:ascii="Times New Roman" w:hAnsi="Times New Roman" w:cs="Times New Roman"/>
          <w:color w:val="111111"/>
          <w:sz w:val="24"/>
          <w:szCs w:val="24"/>
          <w:shd w:val="clear" w:color="auto" w:fill="FFFFFF"/>
        </w:rPr>
        <w:t xml:space="preserve"> extracts. Three </w:t>
      </w:r>
      <w:proofErr w:type="spellStart"/>
      <w:r w:rsidRPr="00AD7894">
        <w:rPr>
          <w:rFonts w:ascii="Times New Roman" w:hAnsi="Times New Roman" w:cs="Times New Roman"/>
          <w:color w:val="111111"/>
          <w:sz w:val="24"/>
          <w:szCs w:val="24"/>
          <w:shd w:val="clear" w:color="auto" w:fill="FFFFFF"/>
        </w:rPr>
        <w:t>ethanolic</w:t>
      </w:r>
      <w:proofErr w:type="spellEnd"/>
      <w:r w:rsidRPr="00AD7894">
        <w:rPr>
          <w:rFonts w:ascii="Times New Roman" w:hAnsi="Times New Roman" w:cs="Times New Roman"/>
          <w:color w:val="111111"/>
          <w:sz w:val="24"/>
          <w:szCs w:val="24"/>
          <w:shd w:val="clear" w:color="auto" w:fill="FFFFFF"/>
        </w:rPr>
        <w:t xml:space="preserve"> extracts from two mangrove plants were subjected to the investigation for identifying different antioxidant compounds. For the tests, we used the leaves and aerial root extract from Pandanus </w:t>
      </w:r>
      <w:proofErr w:type="spellStart"/>
      <w:r w:rsidRPr="00AD7894">
        <w:rPr>
          <w:rFonts w:ascii="Times New Roman" w:hAnsi="Times New Roman" w:cs="Times New Roman"/>
          <w:color w:val="111111"/>
          <w:sz w:val="24"/>
          <w:szCs w:val="24"/>
          <w:shd w:val="clear" w:color="auto" w:fill="FFFFFF"/>
        </w:rPr>
        <w:t>foetidus</w:t>
      </w:r>
      <w:proofErr w:type="spellEnd"/>
      <w:r w:rsidRPr="00AD7894">
        <w:rPr>
          <w:rFonts w:ascii="Times New Roman" w:hAnsi="Times New Roman" w:cs="Times New Roman"/>
          <w:color w:val="111111"/>
          <w:sz w:val="24"/>
          <w:szCs w:val="24"/>
          <w:shd w:val="clear" w:color="auto" w:fill="FFFFFF"/>
        </w:rPr>
        <w:t xml:space="preserve"> and leaves from Avicennia </w:t>
      </w:r>
      <w:proofErr w:type="spellStart"/>
      <w:r w:rsidRPr="00AD7894">
        <w:rPr>
          <w:rFonts w:ascii="Times New Roman" w:hAnsi="Times New Roman" w:cs="Times New Roman"/>
          <w:color w:val="111111"/>
          <w:sz w:val="24"/>
          <w:szCs w:val="24"/>
          <w:shd w:val="clear" w:color="auto" w:fill="FFFFFF"/>
        </w:rPr>
        <w:t>officinalis</w:t>
      </w:r>
      <w:proofErr w:type="spellEnd"/>
      <w:r w:rsidRPr="00AD7894">
        <w:rPr>
          <w:rFonts w:ascii="Times New Roman" w:hAnsi="Times New Roman" w:cs="Times New Roman"/>
          <w:color w:val="111111"/>
          <w:sz w:val="24"/>
          <w:szCs w:val="24"/>
          <w:shd w:val="clear" w:color="auto" w:fill="FFFFFF"/>
        </w:rPr>
        <w:t>. These two are mangroves plants with the evidence of presence of prominent antioxidant properties. The highest phenolic and tannin content were measured about 269mg GAE/</w:t>
      </w:r>
      <w:proofErr w:type="spellStart"/>
      <w:r w:rsidRPr="00AD7894">
        <w:rPr>
          <w:rFonts w:ascii="Times New Roman" w:hAnsi="Times New Roman" w:cs="Times New Roman"/>
          <w:color w:val="111111"/>
          <w:sz w:val="24"/>
          <w:szCs w:val="24"/>
          <w:shd w:val="clear" w:color="auto" w:fill="FFFFFF"/>
        </w:rPr>
        <w:t>gm</w:t>
      </w:r>
      <w:proofErr w:type="spellEnd"/>
      <w:r w:rsidRPr="00AD7894">
        <w:rPr>
          <w:rFonts w:ascii="Times New Roman" w:hAnsi="Times New Roman" w:cs="Times New Roman"/>
          <w:color w:val="111111"/>
          <w:sz w:val="24"/>
          <w:szCs w:val="24"/>
          <w:shd w:val="clear" w:color="auto" w:fill="FFFFFF"/>
        </w:rPr>
        <w:t xml:space="preserve"> dry extract and about 212mg AAE/</w:t>
      </w:r>
      <w:proofErr w:type="spellStart"/>
      <w:r w:rsidRPr="00AD7894">
        <w:rPr>
          <w:rFonts w:ascii="Times New Roman" w:hAnsi="Times New Roman" w:cs="Times New Roman"/>
          <w:color w:val="111111"/>
          <w:sz w:val="24"/>
          <w:szCs w:val="24"/>
          <w:shd w:val="clear" w:color="auto" w:fill="FFFFFF"/>
        </w:rPr>
        <w:t>gm</w:t>
      </w:r>
      <w:proofErr w:type="spellEnd"/>
      <w:r w:rsidRPr="00AD7894">
        <w:rPr>
          <w:rFonts w:ascii="Times New Roman" w:hAnsi="Times New Roman" w:cs="Times New Roman"/>
          <w:color w:val="111111"/>
          <w:sz w:val="24"/>
          <w:szCs w:val="24"/>
          <w:shd w:val="clear" w:color="auto" w:fill="FFFFFF"/>
        </w:rPr>
        <w:t xml:space="preserve"> dry extract of P. </w:t>
      </w:r>
      <w:proofErr w:type="spellStart"/>
      <w:r w:rsidRPr="00AD7894">
        <w:rPr>
          <w:rFonts w:ascii="Times New Roman" w:hAnsi="Times New Roman" w:cs="Times New Roman"/>
          <w:color w:val="111111"/>
          <w:sz w:val="24"/>
          <w:szCs w:val="24"/>
          <w:shd w:val="clear" w:color="auto" w:fill="FFFFFF"/>
        </w:rPr>
        <w:t>foetidus</w:t>
      </w:r>
      <w:proofErr w:type="spellEnd"/>
      <w:r w:rsidRPr="00AD7894">
        <w:rPr>
          <w:rFonts w:ascii="Times New Roman" w:hAnsi="Times New Roman" w:cs="Times New Roman"/>
          <w:color w:val="111111"/>
          <w:sz w:val="24"/>
          <w:szCs w:val="24"/>
          <w:shd w:val="clear" w:color="auto" w:fill="FFFFFF"/>
        </w:rPr>
        <w:t xml:space="preserve"> leaves extract. Total flavonoid content was high in A. </w:t>
      </w:r>
      <w:proofErr w:type="spellStart"/>
      <w:r w:rsidRPr="00AD7894">
        <w:rPr>
          <w:rFonts w:ascii="Times New Roman" w:hAnsi="Times New Roman" w:cs="Times New Roman"/>
          <w:color w:val="111111"/>
          <w:sz w:val="24"/>
          <w:szCs w:val="24"/>
          <w:shd w:val="clear" w:color="auto" w:fill="FFFFFF"/>
        </w:rPr>
        <w:t>officinalis</w:t>
      </w:r>
      <w:proofErr w:type="spellEnd"/>
      <w:r w:rsidRPr="00AD7894">
        <w:rPr>
          <w:rFonts w:ascii="Times New Roman" w:hAnsi="Times New Roman" w:cs="Times New Roman"/>
          <w:color w:val="111111"/>
          <w:sz w:val="24"/>
          <w:szCs w:val="24"/>
          <w:shd w:val="clear" w:color="auto" w:fill="FFFFFF"/>
        </w:rPr>
        <w:t xml:space="preserve"> leaves extract which was about 176mg QE/</w:t>
      </w:r>
      <w:proofErr w:type="spellStart"/>
      <w:r w:rsidRPr="00AD7894">
        <w:rPr>
          <w:rFonts w:ascii="Times New Roman" w:hAnsi="Times New Roman" w:cs="Times New Roman"/>
          <w:color w:val="111111"/>
          <w:sz w:val="24"/>
          <w:szCs w:val="24"/>
          <w:shd w:val="clear" w:color="auto" w:fill="FFFFFF"/>
        </w:rPr>
        <w:t>gm</w:t>
      </w:r>
      <w:proofErr w:type="spellEnd"/>
      <w:r w:rsidRPr="00AD7894">
        <w:rPr>
          <w:rFonts w:ascii="Times New Roman" w:hAnsi="Times New Roman" w:cs="Times New Roman"/>
          <w:color w:val="111111"/>
          <w:sz w:val="24"/>
          <w:szCs w:val="24"/>
          <w:shd w:val="clear" w:color="auto" w:fill="FFFFFF"/>
        </w:rPr>
        <w:t xml:space="preserve"> dry extract. Aerial root extract of P. </w:t>
      </w:r>
      <w:proofErr w:type="spellStart"/>
      <w:r w:rsidRPr="00AD7894">
        <w:rPr>
          <w:rFonts w:ascii="Times New Roman" w:hAnsi="Times New Roman" w:cs="Times New Roman"/>
          <w:color w:val="111111"/>
          <w:sz w:val="24"/>
          <w:szCs w:val="24"/>
          <w:shd w:val="clear" w:color="auto" w:fill="FFFFFF"/>
        </w:rPr>
        <w:t>foetidus</w:t>
      </w:r>
      <w:proofErr w:type="spellEnd"/>
      <w:r w:rsidRPr="00AD7894">
        <w:rPr>
          <w:rFonts w:ascii="Times New Roman" w:hAnsi="Times New Roman" w:cs="Times New Roman"/>
          <w:color w:val="111111"/>
          <w:sz w:val="24"/>
          <w:szCs w:val="24"/>
          <w:shd w:val="clear" w:color="auto" w:fill="FFFFFF"/>
        </w:rPr>
        <w:t xml:space="preserve"> showed lower TPC, TFC and TTC in compare with other extracts. The highest TAC were identified about 212mg AAE/</w:t>
      </w:r>
      <w:proofErr w:type="spellStart"/>
      <w:r w:rsidRPr="00AD7894">
        <w:rPr>
          <w:rFonts w:ascii="Times New Roman" w:hAnsi="Times New Roman" w:cs="Times New Roman"/>
          <w:color w:val="111111"/>
          <w:sz w:val="24"/>
          <w:szCs w:val="24"/>
          <w:shd w:val="clear" w:color="auto" w:fill="FFFFFF"/>
        </w:rPr>
        <w:t>gm</w:t>
      </w:r>
      <w:proofErr w:type="spellEnd"/>
      <w:r w:rsidRPr="00AD7894">
        <w:rPr>
          <w:rFonts w:ascii="Times New Roman" w:hAnsi="Times New Roman" w:cs="Times New Roman"/>
          <w:color w:val="111111"/>
          <w:sz w:val="24"/>
          <w:szCs w:val="24"/>
          <w:shd w:val="clear" w:color="auto" w:fill="FFFFFF"/>
        </w:rPr>
        <w:t xml:space="preserve"> dry extract which actually support the highest TAC and TTC in P. </w:t>
      </w:r>
      <w:proofErr w:type="spellStart"/>
      <w:r w:rsidRPr="00AD7894">
        <w:rPr>
          <w:rFonts w:ascii="Times New Roman" w:hAnsi="Times New Roman" w:cs="Times New Roman"/>
          <w:color w:val="111111"/>
          <w:sz w:val="24"/>
          <w:szCs w:val="24"/>
          <w:shd w:val="clear" w:color="auto" w:fill="FFFFFF"/>
        </w:rPr>
        <w:t>foetidus</w:t>
      </w:r>
      <w:proofErr w:type="spellEnd"/>
      <w:r w:rsidRPr="00AD7894">
        <w:rPr>
          <w:rFonts w:ascii="Times New Roman" w:hAnsi="Times New Roman" w:cs="Times New Roman"/>
          <w:color w:val="111111"/>
          <w:sz w:val="24"/>
          <w:szCs w:val="24"/>
          <w:shd w:val="clear" w:color="auto" w:fill="FFFFFF"/>
        </w:rPr>
        <w:t xml:space="preserve"> leaves extract. The findings of this study indicate that the different antioxidant compounds in this study may be considered interesting candidates for future research.</w:t>
      </w:r>
    </w:p>
    <w:p w:rsidR="001C5DE9" w:rsidRPr="00AD7894" w:rsidRDefault="001C5DE9" w:rsidP="00AD7894">
      <w:pPr>
        <w:spacing w:before="150" w:after="150" w:line="240" w:lineRule="auto"/>
        <w:jc w:val="both"/>
        <w:rPr>
          <w:rFonts w:ascii="Times New Roman" w:hAnsi="Times New Roman" w:cs="Times New Roman"/>
          <w:b/>
          <w:bCs/>
          <w:color w:val="4C4C4C"/>
          <w:sz w:val="24"/>
          <w:szCs w:val="24"/>
          <w:shd w:val="clear" w:color="auto" w:fill="FFFFFF"/>
        </w:rPr>
      </w:pPr>
    </w:p>
    <w:p w:rsidR="001C5DE9" w:rsidRPr="00AD7894" w:rsidRDefault="001C5DE9" w:rsidP="00AD7894">
      <w:pPr>
        <w:spacing w:before="150" w:after="150" w:line="240" w:lineRule="auto"/>
        <w:jc w:val="both"/>
        <w:rPr>
          <w:rFonts w:ascii="Times New Roman" w:hAnsi="Times New Roman" w:cs="Times New Roman"/>
          <w:b/>
          <w:bCs/>
          <w:color w:val="4C4C4C"/>
          <w:sz w:val="24"/>
          <w:szCs w:val="24"/>
          <w:shd w:val="clear" w:color="auto" w:fill="FFFFFF"/>
        </w:rPr>
      </w:pPr>
      <w:r w:rsidRPr="00AD7894">
        <w:rPr>
          <w:rFonts w:ascii="Times New Roman" w:hAnsi="Times New Roman" w:cs="Times New Roman"/>
          <w:b/>
          <w:bCs/>
          <w:color w:val="4C4C4C"/>
          <w:sz w:val="24"/>
          <w:szCs w:val="24"/>
          <w:shd w:val="clear" w:color="auto" w:fill="FFFFFF"/>
        </w:rPr>
        <w:t>Conference / Journal Link:</w:t>
      </w:r>
    </w:p>
    <w:p w:rsidR="00AD7894" w:rsidRPr="00AD7894" w:rsidRDefault="00AD7894" w:rsidP="00AD7894">
      <w:pPr>
        <w:spacing w:before="150"/>
        <w:jc w:val="both"/>
        <w:rPr>
          <w:rFonts w:ascii="Times New Roman" w:hAnsi="Times New Roman" w:cs="Times New Roman"/>
          <w:color w:val="4C4C4C"/>
          <w:sz w:val="24"/>
          <w:szCs w:val="24"/>
        </w:rPr>
      </w:pPr>
      <w:hyperlink r:id="rId4" w:history="1">
        <w:r w:rsidRPr="00AD7894">
          <w:rPr>
            <w:rStyle w:val="Hyperlink"/>
            <w:rFonts w:ascii="Times New Roman" w:hAnsi="Times New Roman" w:cs="Times New Roman"/>
            <w:sz w:val="24"/>
            <w:szCs w:val="24"/>
            <w:u w:val="none"/>
          </w:rPr>
          <w:t>https://pharmacologyonline.silae.it/files/archives/2019/vol1/PhOL_2019_1_A029_Farjana.pdf</w:t>
        </w:r>
      </w:hyperlink>
    </w:p>
    <w:p w:rsidR="00AD7894" w:rsidRPr="00AD7894" w:rsidRDefault="00AD7894" w:rsidP="00AD7894">
      <w:pPr>
        <w:spacing w:before="150" w:after="150" w:line="240" w:lineRule="auto"/>
        <w:jc w:val="both"/>
        <w:rPr>
          <w:rFonts w:ascii="Times New Roman" w:hAnsi="Times New Roman" w:cs="Times New Roman"/>
          <w:b/>
          <w:bCs/>
          <w:color w:val="4C4C4C"/>
          <w:sz w:val="24"/>
          <w:szCs w:val="24"/>
          <w:shd w:val="clear" w:color="auto" w:fill="FFFFFF"/>
        </w:rPr>
      </w:pPr>
    </w:p>
    <w:p w:rsidR="001C5DE9" w:rsidRPr="00AD7894" w:rsidRDefault="001C5DE9" w:rsidP="00AD7894">
      <w:pPr>
        <w:spacing w:before="150"/>
        <w:jc w:val="both"/>
        <w:rPr>
          <w:rFonts w:ascii="Times New Roman" w:hAnsi="Times New Roman" w:cs="Times New Roman"/>
          <w:b/>
          <w:color w:val="4C4C4C"/>
          <w:sz w:val="24"/>
          <w:szCs w:val="24"/>
        </w:rPr>
      </w:pPr>
    </w:p>
    <w:p w:rsidR="00D0008B" w:rsidRPr="00AD7894" w:rsidRDefault="00D0008B" w:rsidP="00AD7894">
      <w:pPr>
        <w:jc w:val="both"/>
        <w:rPr>
          <w:rFonts w:ascii="Times New Roman" w:hAnsi="Times New Roman" w:cs="Times New Roman"/>
          <w:sz w:val="24"/>
          <w:szCs w:val="24"/>
        </w:rPr>
      </w:pPr>
    </w:p>
    <w:sectPr w:rsidR="00D0008B" w:rsidRPr="00AD78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C5DE9"/>
    <w:rsid w:val="00204521"/>
    <w:rsid w:val="003209CF"/>
    <w:rsid w:val="003C0050"/>
    <w:rsid w:val="00436BE6"/>
    <w:rsid w:val="004411D9"/>
    <w:rsid w:val="00452687"/>
    <w:rsid w:val="004D55BF"/>
    <w:rsid w:val="0051294E"/>
    <w:rsid w:val="00614BEB"/>
    <w:rsid w:val="006F2FC2"/>
    <w:rsid w:val="0071519C"/>
    <w:rsid w:val="00812485"/>
    <w:rsid w:val="009043A4"/>
    <w:rsid w:val="00982A47"/>
    <w:rsid w:val="0099662C"/>
    <w:rsid w:val="009B3127"/>
    <w:rsid w:val="009E0C23"/>
    <w:rsid w:val="009E22F9"/>
    <w:rsid w:val="00AD7894"/>
    <w:rsid w:val="00B930C5"/>
    <w:rsid w:val="00BD4B8D"/>
    <w:rsid w:val="00C02829"/>
    <w:rsid w:val="00D0008B"/>
    <w:rsid w:val="00D23FCB"/>
    <w:rsid w:val="00E20B3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75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archives/2019/vol1/PhOL_2019_1_A029_Farjan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2022-01-31T05:46:00Z</dcterms:created>
  <dcterms:modified xsi:type="dcterms:W3CDTF">2022-02-02T05:24:00Z</dcterms:modified>
</cp:coreProperties>
</file>