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9FF" w:rsidRDefault="001E29FF" w:rsidP="001E29FF">
      <w:pPr>
        <w:spacing w:before="150" w:after="150" w:line="240" w:lineRule="auto"/>
        <w:rPr>
          <w:rFonts w:ascii="Times New Roman" w:eastAsia="Times New Roman" w:hAnsi="Times New Roman" w:cs="Times New Roman"/>
          <w:color w:val="4C4C4C"/>
          <w:sz w:val="40"/>
          <w:szCs w:val="40"/>
        </w:rPr>
      </w:pPr>
      <w:r w:rsidRPr="001E29FF">
        <w:rPr>
          <w:rFonts w:ascii="Times New Roman" w:eastAsia="Times New Roman" w:hAnsi="Times New Roman" w:cs="Times New Roman"/>
          <w:color w:val="4C4C4C"/>
          <w:sz w:val="40"/>
          <w:szCs w:val="40"/>
        </w:rPr>
        <w:t>Embedded Subscriber Identity Module with Context Switching</w:t>
      </w:r>
    </w:p>
    <w:p w:rsidR="00D11E2D" w:rsidRDefault="00D11E2D" w:rsidP="00D11E2D">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D11E2D" w:rsidRPr="00D11E2D" w:rsidRDefault="00D11E2D" w:rsidP="00D11E2D">
      <w:pPr>
        <w:shd w:val="clear" w:color="auto" w:fill="FCFCFC"/>
        <w:spacing w:after="100" w:afterAutospacing="1" w:line="240" w:lineRule="auto"/>
        <w:jc w:val="both"/>
        <w:textAlignment w:val="center"/>
        <w:rPr>
          <w:rFonts w:ascii="Times New Roman" w:eastAsia="Times New Roman" w:hAnsi="Times New Roman" w:cs="Times New Roman"/>
          <w:color w:val="2E74B5" w:themeColor="accent1" w:themeShade="BF"/>
          <w:sz w:val="24"/>
          <w:szCs w:val="24"/>
        </w:rPr>
      </w:pPr>
      <w:proofErr w:type="spellStart"/>
      <w:r w:rsidRPr="00D11E2D">
        <w:rPr>
          <w:rFonts w:ascii="Times New Roman" w:eastAsia="Times New Roman" w:hAnsi="Times New Roman" w:cs="Times New Roman"/>
          <w:color w:val="2E74B5" w:themeColor="accent1" w:themeShade="BF"/>
          <w:sz w:val="24"/>
          <w:szCs w:val="24"/>
        </w:rPr>
        <w:t>Kaushik</w:t>
      </w:r>
      <w:proofErr w:type="spellEnd"/>
      <w:r w:rsidRPr="00D11E2D">
        <w:rPr>
          <w:rFonts w:ascii="Times New Roman" w:eastAsia="Times New Roman" w:hAnsi="Times New Roman" w:cs="Times New Roman"/>
          <w:color w:val="2E74B5" w:themeColor="accent1" w:themeShade="BF"/>
          <w:sz w:val="24"/>
          <w:szCs w:val="24"/>
        </w:rPr>
        <w:t> </w:t>
      </w:r>
      <w:proofErr w:type="spellStart"/>
      <w:r w:rsidRPr="00D11E2D">
        <w:rPr>
          <w:rFonts w:ascii="Times New Roman" w:eastAsia="Times New Roman" w:hAnsi="Times New Roman" w:cs="Times New Roman"/>
          <w:color w:val="2E74B5" w:themeColor="accent1" w:themeShade="BF"/>
          <w:sz w:val="24"/>
          <w:szCs w:val="24"/>
        </w:rPr>
        <w:t>Sarker</w:t>
      </w:r>
      <w:proofErr w:type="spellEnd"/>
      <w:r w:rsidRPr="00D11E2D">
        <w:rPr>
          <w:rFonts w:ascii="Times New Roman" w:eastAsia="Times New Roman" w:hAnsi="Times New Roman" w:cs="Times New Roman"/>
          <w:color w:val="2E74B5" w:themeColor="accent1" w:themeShade="BF"/>
          <w:sz w:val="24"/>
          <w:szCs w:val="24"/>
        </w:rPr>
        <w:t>, K. M. </w:t>
      </w:r>
      <w:proofErr w:type="spellStart"/>
      <w:r w:rsidRPr="00D11E2D">
        <w:rPr>
          <w:rFonts w:ascii="Times New Roman" w:eastAsia="Times New Roman" w:hAnsi="Times New Roman" w:cs="Times New Roman"/>
          <w:color w:val="2E74B5" w:themeColor="accent1" w:themeShade="BF"/>
          <w:sz w:val="24"/>
          <w:szCs w:val="24"/>
        </w:rPr>
        <w:t>Muzahidul</w:t>
      </w:r>
      <w:proofErr w:type="spellEnd"/>
      <w:r w:rsidRPr="00D11E2D">
        <w:rPr>
          <w:rFonts w:ascii="Times New Roman" w:eastAsia="Times New Roman" w:hAnsi="Times New Roman" w:cs="Times New Roman"/>
          <w:color w:val="2E74B5" w:themeColor="accent1" w:themeShade="BF"/>
          <w:sz w:val="24"/>
          <w:szCs w:val="24"/>
        </w:rPr>
        <w:t> Islam</w:t>
      </w:r>
    </w:p>
    <w:p w:rsidR="00D11E2D" w:rsidRPr="00D11E2D" w:rsidRDefault="00D11E2D" w:rsidP="00D11E2D">
      <w:pPr>
        <w:spacing w:before="150" w:after="150" w:line="240" w:lineRule="auto"/>
        <w:jc w:val="both"/>
        <w:rPr>
          <w:rFonts w:ascii="Times New Roman" w:eastAsia="Times New Roman" w:hAnsi="Times New Roman" w:cs="Times New Roman"/>
          <w:color w:val="4C4C4C"/>
          <w:sz w:val="24"/>
          <w:szCs w:val="24"/>
        </w:rPr>
      </w:pPr>
    </w:p>
    <w:p w:rsidR="001C5DE9" w:rsidRPr="00D11E2D" w:rsidRDefault="001C5DE9" w:rsidP="00D11E2D">
      <w:pPr>
        <w:spacing w:before="150" w:after="150" w:line="240" w:lineRule="auto"/>
        <w:jc w:val="both"/>
        <w:rPr>
          <w:rFonts w:ascii="Times New Roman" w:eastAsia="Times New Roman" w:hAnsi="Times New Roman" w:cs="Times New Roman"/>
          <w:b/>
          <w:color w:val="4C4C4C"/>
          <w:sz w:val="24"/>
          <w:szCs w:val="24"/>
        </w:rPr>
      </w:pPr>
      <w:r w:rsidRPr="00D11E2D">
        <w:rPr>
          <w:rFonts w:ascii="Times New Roman" w:eastAsia="Times New Roman" w:hAnsi="Times New Roman" w:cs="Times New Roman"/>
          <w:b/>
          <w:color w:val="4C4C4C"/>
          <w:sz w:val="24"/>
          <w:szCs w:val="24"/>
        </w:rPr>
        <w:t>Abstract:</w:t>
      </w:r>
    </w:p>
    <w:p w:rsidR="00D11E2D" w:rsidRPr="00D11E2D" w:rsidRDefault="00D11E2D" w:rsidP="00D11E2D">
      <w:pPr>
        <w:spacing w:before="150" w:after="150" w:line="240" w:lineRule="auto"/>
        <w:jc w:val="both"/>
        <w:rPr>
          <w:rFonts w:ascii="Times New Roman" w:eastAsia="Times New Roman" w:hAnsi="Times New Roman" w:cs="Times New Roman"/>
          <w:b/>
          <w:color w:val="4C4C4C"/>
          <w:sz w:val="24"/>
          <w:szCs w:val="24"/>
        </w:rPr>
      </w:pPr>
      <w:r w:rsidRPr="00D11E2D">
        <w:rPr>
          <w:rFonts w:ascii="Times New Roman" w:hAnsi="Times New Roman" w:cs="Times New Roman"/>
          <w:color w:val="333333"/>
          <w:spacing w:val="2"/>
          <w:sz w:val="24"/>
          <w:szCs w:val="24"/>
          <w:shd w:val="clear" w:color="auto" w:fill="FCFCFC"/>
        </w:rPr>
        <w:t xml:space="preserve">Telecommunications technology user wants quality channels including security, customization, personalization and autonomy. These requirements are encouraging customers to use multiple identity modules. Use of multiple modules brings the necessity of caring multiple cellular phones or multiple cellular units in a mobile device. Moreover, the switching between the identity </w:t>
      </w:r>
      <w:r w:rsidRPr="00D11E2D">
        <w:rPr>
          <w:rFonts w:ascii="Times New Roman" w:hAnsi="Times New Roman" w:cs="Times New Roman"/>
          <w:color w:val="333333"/>
          <w:spacing w:val="2"/>
          <w:sz w:val="24"/>
          <w:szCs w:val="24"/>
          <w:shd w:val="clear" w:color="auto" w:fill="FCFCFC"/>
        </w:rPr>
        <w:t>modules</w:t>
      </w:r>
      <w:r w:rsidRPr="00D11E2D">
        <w:rPr>
          <w:rFonts w:ascii="Times New Roman" w:hAnsi="Times New Roman" w:cs="Times New Roman"/>
          <w:color w:val="333333"/>
          <w:spacing w:val="2"/>
          <w:sz w:val="24"/>
          <w:szCs w:val="24"/>
          <w:shd w:val="clear" w:color="auto" w:fill="FCFCFC"/>
        </w:rPr>
        <w:t xml:space="preserve"> is physical and less secure with the possibility of an identity module cloning or loss of module in case of theft. Several research works have been found in the area of embedded Subscriber Identity Module (eSIM) and Virtual Subscriber Identity module (VSIM). However, the limitations of both eSIM and VSIM have given the authors of this paper a scope to study and come up with a solution by proposing a new model. In the proposed model authors have considered the benefits of eSIM and VSIM together and reducing the limitations such as switching between the modules, parallel activation of the modules, module cloning etc. At the end of the paper, authors have compared ten such limitations, known as features with the existing models and presented a graphical simulation of the proposed model with the proposed methodology of context switching between embedded subscriber identity modules.</w:t>
      </w:r>
    </w:p>
    <w:p w:rsidR="001C5DE9" w:rsidRPr="00D11E2D" w:rsidRDefault="001C5DE9" w:rsidP="00D11E2D">
      <w:pPr>
        <w:spacing w:before="150" w:after="150" w:line="240" w:lineRule="auto"/>
        <w:jc w:val="both"/>
        <w:rPr>
          <w:rFonts w:ascii="Times New Roman" w:hAnsi="Times New Roman" w:cs="Times New Roman"/>
          <w:b/>
          <w:bCs/>
          <w:color w:val="4C4C4C"/>
          <w:sz w:val="24"/>
          <w:szCs w:val="24"/>
          <w:shd w:val="clear" w:color="auto" w:fill="FFFFFF"/>
        </w:rPr>
      </w:pPr>
    </w:p>
    <w:p w:rsidR="001C5DE9" w:rsidRPr="00D11E2D" w:rsidRDefault="001C5DE9" w:rsidP="00D11E2D">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D11E2D">
        <w:rPr>
          <w:rFonts w:ascii="Times New Roman" w:hAnsi="Times New Roman" w:cs="Times New Roman"/>
          <w:b/>
          <w:bCs/>
          <w:color w:val="4C4C4C"/>
          <w:sz w:val="24"/>
          <w:szCs w:val="24"/>
          <w:shd w:val="clear" w:color="auto" w:fill="FFFFFF"/>
        </w:rPr>
        <w:t>Conference / Journal Link:</w:t>
      </w:r>
    </w:p>
    <w:p w:rsidR="00D11E2D" w:rsidRPr="00D11E2D" w:rsidRDefault="00D11E2D" w:rsidP="00D11E2D">
      <w:pPr>
        <w:spacing w:before="150"/>
        <w:jc w:val="both"/>
        <w:rPr>
          <w:rFonts w:ascii="Times New Roman" w:hAnsi="Times New Roman" w:cs="Times New Roman"/>
          <w:color w:val="4C4C4C"/>
          <w:sz w:val="24"/>
          <w:szCs w:val="24"/>
        </w:rPr>
      </w:pPr>
      <w:hyperlink r:id="rId5" w:history="1">
        <w:r w:rsidRPr="00D11E2D">
          <w:rPr>
            <w:rStyle w:val="Hyperlink"/>
            <w:rFonts w:ascii="Times New Roman" w:hAnsi="Times New Roman" w:cs="Times New Roman"/>
            <w:sz w:val="24"/>
            <w:szCs w:val="24"/>
            <w:u w:val="none"/>
          </w:rPr>
          <w:t>https://link.springer.com/chapter/10.1007/978-981-15-1384-8_8</w:t>
        </w:r>
      </w:hyperlink>
    </w:p>
    <w:p w:rsidR="00D11E2D" w:rsidRPr="00D11E2D" w:rsidRDefault="00D11E2D" w:rsidP="00D11E2D">
      <w:pPr>
        <w:spacing w:before="150" w:after="150" w:line="240" w:lineRule="auto"/>
        <w:jc w:val="both"/>
        <w:rPr>
          <w:rFonts w:ascii="Times New Roman" w:hAnsi="Times New Roman" w:cs="Times New Roman"/>
          <w:b/>
          <w:bCs/>
          <w:color w:val="4C4C4C"/>
          <w:sz w:val="24"/>
          <w:szCs w:val="24"/>
          <w:shd w:val="clear" w:color="auto" w:fill="FFFFFF"/>
        </w:rPr>
      </w:pPr>
    </w:p>
    <w:p w:rsidR="001C5DE9" w:rsidRPr="00D11E2D" w:rsidRDefault="001C5DE9" w:rsidP="00D11E2D">
      <w:pPr>
        <w:spacing w:before="150"/>
        <w:jc w:val="both"/>
        <w:rPr>
          <w:rFonts w:ascii="Times New Roman" w:hAnsi="Times New Roman" w:cs="Times New Roman"/>
          <w:b/>
          <w:color w:val="4C4C4C"/>
          <w:sz w:val="24"/>
          <w:szCs w:val="24"/>
        </w:rPr>
      </w:pPr>
      <w:r w:rsidRPr="00D11E2D">
        <w:rPr>
          <w:rFonts w:ascii="Times New Roman" w:hAnsi="Times New Roman" w:cs="Times New Roman"/>
          <w:b/>
          <w:color w:val="4C4C4C"/>
          <w:sz w:val="24"/>
          <w:szCs w:val="24"/>
        </w:rPr>
        <w:t>DOI:</w:t>
      </w:r>
    </w:p>
    <w:p w:rsidR="00D11E2D" w:rsidRPr="00D11E2D" w:rsidRDefault="00D11E2D" w:rsidP="00D11E2D">
      <w:pPr>
        <w:spacing w:before="150"/>
        <w:jc w:val="both"/>
        <w:rPr>
          <w:rFonts w:ascii="Times New Roman" w:hAnsi="Times New Roman" w:cs="Times New Roman"/>
          <w:b/>
          <w:color w:val="2E74B5" w:themeColor="accent1" w:themeShade="BF"/>
          <w:sz w:val="24"/>
          <w:szCs w:val="24"/>
        </w:rPr>
      </w:pPr>
      <w:r w:rsidRPr="00D11E2D">
        <w:rPr>
          <w:rFonts w:ascii="Times New Roman" w:hAnsi="Times New Roman" w:cs="Times New Roman"/>
          <w:color w:val="2E74B5" w:themeColor="accent1" w:themeShade="BF"/>
          <w:spacing w:val="4"/>
          <w:sz w:val="24"/>
          <w:szCs w:val="24"/>
          <w:shd w:val="clear" w:color="auto" w:fill="FCFCFC"/>
        </w:rPr>
        <w:t>https://doi.org/10.1007/978-981-15-1384-8_8</w:t>
      </w:r>
    </w:p>
    <w:p w:rsidR="00D0008B" w:rsidRPr="00D11E2D" w:rsidRDefault="00D0008B" w:rsidP="00D11E2D">
      <w:pPr>
        <w:jc w:val="both"/>
        <w:rPr>
          <w:rFonts w:ascii="Times New Roman" w:hAnsi="Times New Roman" w:cs="Times New Roman"/>
          <w:sz w:val="24"/>
          <w:szCs w:val="24"/>
        </w:rPr>
      </w:pPr>
    </w:p>
    <w:sectPr w:rsidR="00D0008B" w:rsidRPr="00D11E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151C81"/>
    <w:multiLevelType w:val="multilevel"/>
    <w:tmpl w:val="5370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1E29FF"/>
    <w:rsid w:val="001E521F"/>
    <w:rsid w:val="00204521"/>
    <w:rsid w:val="003209CF"/>
    <w:rsid w:val="003C0050"/>
    <w:rsid w:val="00436BE6"/>
    <w:rsid w:val="00452687"/>
    <w:rsid w:val="004D55BF"/>
    <w:rsid w:val="0050335E"/>
    <w:rsid w:val="0051294E"/>
    <w:rsid w:val="00565EB8"/>
    <w:rsid w:val="00614BEB"/>
    <w:rsid w:val="00671A54"/>
    <w:rsid w:val="006E1452"/>
    <w:rsid w:val="006F2FC2"/>
    <w:rsid w:val="0071519C"/>
    <w:rsid w:val="00812485"/>
    <w:rsid w:val="009043A4"/>
    <w:rsid w:val="00937397"/>
    <w:rsid w:val="00982A47"/>
    <w:rsid w:val="0099662C"/>
    <w:rsid w:val="009B3127"/>
    <w:rsid w:val="009E0C23"/>
    <w:rsid w:val="009E22F9"/>
    <w:rsid w:val="00B930C5"/>
    <w:rsid w:val="00BB33BF"/>
    <w:rsid w:val="00BD4B8D"/>
    <w:rsid w:val="00C02829"/>
    <w:rsid w:val="00C95B6D"/>
    <w:rsid w:val="00CF649C"/>
    <w:rsid w:val="00D0008B"/>
    <w:rsid w:val="00D11E2D"/>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name">
    <w:name w:val="authors__name"/>
    <w:basedOn w:val="DefaultParagraphFont"/>
    <w:rsid w:val="00D11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153343">
      <w:bodyDiv w:val="1"/>
      <w:marLeft w:val="0"/>
      <w:marRight w:val="0"/>
      <w:marTop w:val="0"/>
      <w:marBottom w:val="0"/>
      <w:divBdr>
        <w:top w:val="none" w:sz="0" w:space="0" w:color="auto"/>
        <w:left w:val="none" w:sz="0" w:space="0" w:color="auto"/>
        <w:bottom w:val="none" w:sz="0" w:space="0" w:color="auto"/>
        <w:right w:val="none" w:sz="0" w:space="0" w:color="auto"/>
      </w:divBdr>
    </w:div>
    <w:div w:id="176345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nk.springer.com/chapter/10.1007/978-981-15-1384-8_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2022-02-06T06:23:00Z</dcterms:created>
  <dcterms:modified xsi:type="dcterms:W3CDTF">2022-02-14T10:16:00Z</dcterms:modified>
</cp:coreProperties>
</file>