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C97" w:rsidRDefault="00F91C97" w:rsidP="00F91C97">
      <w:pPr>
        <w:spacing w:before="150" w:after="150" w:line="240" w:lineRule="auto"/>
        <w:rPr>
          <w:rFonts w:ascii="Times New Roman" w:eastAsia="Times New Roman" w:hAnsi="Times New Roman" w:cs="Times New Roman"/>
          <w:color w:val="4C4C4C"/>
          <w:sz w:val="40"/>
          <w:szCs w:val="40"/>
        </w:rPr>
      </w:pPr>
      <w:r w:rsidRPr="00F91C97">
        <w:rPr>
          <w:rFonts w:ascii="Times New Roman" w:eastAsia="Times New Roman" w:hAnsi="Times New Roman" w:cs="Times New Roman"/>
          <w:color w:val="4C4C4C"/>
          <w:sz w:val="40"/>
          <w:szCs w:val="40"/>
        </w:rPr>
        <w:t>Forecasting of Agricultural Loan in Bangladesh</w:t>
      </w:r>
    </w:p>
    <w:p w:rsidR="00F91C97" w:rsidRPr="00F91C97" w:rsidRDefault="00F91C97" w:rsidP="00F91C97">
      <w:pPr>
        <w:spacing w:before="150" w:after="150" w:line="240" w:lineRule="auto"/>
        <w:rPr>
          <w:rFonts w:ascii="Times New Roman" w:eastAsia="Times New Roman" w:hAnsi="Times New Roman" w:cs="Times New Roman"/>
          <w:color w:val="4C4C4C"/>
          <w:sz w:val="40"/>
          <w:szCs w:val="40"/>
        </w:rPr>
      </w:pPr>
    </w:p>
    <w:p w:rsidR="00F91C97" w:rsidRPr="00F91C97" w:rsidRDefault="00F91C97" w:rsidP="00F91C97">
      <w:pPr>
        <w:spacing w:before="150" w:after="150" w:line="240" w:lineRule="auto"/>
        <w:jc w:val="both"/>
        <w:rPr>
          <w:rFonts w:ascii="Times New Roman" w:eastAsia="Times New Roman" w:hAnsi="Times New Roman" w:cs="Times New Roman"/>
          <w:color w:val="2E74B5" w:themeColor="accent1" w:themeShade="BF"/>
          <w:sz w:val="24"/>
          <w:szCs w:val="24"/>
        </w:rPr>
      </w:pPr>
      <w:r w:rsidRPr="00F91C97">
        <w:rPr>
          <w:rFonts w:ascii="Times New Roman" w:hAnsi="Times New Roman" w:cs="Times New Roman"/>
          <w:color w:val="2E74B5" w:themeColor="accent1" w:themeShade="BF"/>
          <w:sz w:val="24"/>
          <w:szCs w:val="24"/>
        </w:rPr>
        <w:t>Md.Mosfiqur</w:t>
      </w:r>
      <w:bookmarkStart w:id="0" w:name="_GoBack"/>
      <w:bookmarkEnd w:id="0"/>
      <w:r w:rsidRPr="00F91C97">
        <w:rPr>
          <w:rFonts w:ascii="Times New Roman" w:hAnsi="Times New Roman" w:cs="Times New Roman"/>
          <w:color w:val="2E74B5" w:themeColor="accent1" w:themeShade="BF"/>
          <w:sz w:val="24"/>
          <w:szCs w:val="24"/>
        </w:rPr>
        <w:t xml:space="preserve"> Rahman</w:t>
      </w:r>
      <w:r w:rsidR="00E8698E">
        <w:rPr>
          <w:rFonts w:ascii="Times New Roman" w:hAnsi="Times New Roman" w:cs="Times New Roman"/>
          <w:color w:val="2E74B5" w:themeColor="accent1" w:themeShade="BF"/>
          <w:sz w:val="24"/>
          <w:szCs w:val="24"/>
        </w:rPr>
        <w:t>, Masuma Parvin,</w:t>
      </w:r>
      <w:r w:rsidRPr="00F91C97">
        <w:rPr>
          <w:rFonts w:ascii="Times New Roman" w:hAnsi="Times New Roman" w:cs="Times New Roman"/>
          <w:color w:val="2E74B5" w:themeColor="accent1" w:themeShade="BF"/>
          <w:sz w:val="24"/>
          <w:szCs w:val="24"/>
        </w:rPr>
        <w:t xml:space="preserve"> Sayedul Anam, M.A Rubi</w:t>
      </w:r>
    </w:p>
    <w:p w:rsidR="00F91C97" w:rsidRPr="00F91C97" w:rsidRDefault="00F91C97" w:rsidP="00F91C97">
      <w:pPr>
        <w:spacing w:before="150" w:after="150" w:line="240" w:lineRule="auto"/>
        <w:jc w:val="both"/>
        <w:rPr>
          <w:rFonts w:ascii="Times New Roman" w:eastAsia="Times New Roman" w:hAnsi="Times New Roman" w:cs="Times New Roman"/>
          <w:b/>
          <w:color w:val="4C4C4C"/>
          <w:sz w:val="24"/>
          <w:szCs w:val="24"/>
        </w:rPr>
      </w:pPr>
    </w:p>
    <w:p w:rsidR="001C5DE9" w:rsidRPr="00F91C97" w:rsidRDefault="001C5DE9" w:rsidP="00F91C97">
      <w:pPr>
        <w:spacing w:before="150" w:after="150" w:line="240" w:lineRule="auto"/>
        <w:jc w:val="both"/>
        <w:rPr>
          <w:rFonts w:ascii="Times New Roman" w:eastAsia="Times New Roman" w:hAnsi="Times New Roman" w:cs="Times New Roman"/>
          <w:b/>
          <w:color w:val="4C4C4C"/>
          <w:sz w:val="24"/>
          <w:szCs w:val="24"/>
        </w:rPr>
      </w:pPr>
      <w:r w:rsidRPr="00F91C97">
        <w:rPr>
          <w:rFonts w:ascii="Times New Roman" w:eastAsia="Times New Roman" w:hAnsi="Times New Roman" w:cs="Times New Roman"/>
          <w:b/>
          <w:color w:val="4C4C4C"/>
          <w:sz w:val="24"/>
          <w:szCs w:val="24"/>
        </w:rPr>
        <w:t>Abstract:</w:t>
      </w:r>
    </w:p>
    <w:p w:rsidR="00F91C97" w:rsidRPr="00F91C97" w:rsidRDefault="00F91C97" w:rsidP="00F91C97">
      <w:pPr>
        <w:spacing w:before="150" w:after="150" w:line="240" w:lineRule="auto"/>
        <w:jc w:val="both"/>
        <w:rPr>
          <w:rFonts w:ascii="Times New Roman" w:eastAsia="Times New Roman" w:hAnsi="Times New Roman" w:cs="Times New Roman"/>
          <w:b/>
          <w:color w:val="4C4C4C"/>
          <w:sz w:val="24"/>
          <w:szCs w:val="24"/>
        </w:rPr>
      </w:pPr>
      <w:r w:rsidRPr="00F91C97">
        <w:rPr>
          <w:rFonts w:ascii="Times New Roman" w:hAnsi="Times New Roman" w:cs="Times New Roman"/>
          <w:color w:val="4C4C4C"/>
          <w:sz w:val="24"/>
          <w:szCs w:val="24"/>
          <w:shd w:val="clear" w:color="auto" w:fill="FFFFFF"/>
        </w:rPr>
        <w:t> The agriculture sector is important to meet up the challenges of twentieth century in Bangladesh. It has huge contribution to our life. This sector secures the food security, export earnings and poverty reduction (Agricultural and MSME finance’2017, BB). In this paper, we forecast the agricultural loan disbursement, overdue and recovery in Bangladesh. Moreover, we have discussed the flaw of loan disbursement, recovery and overdue and that of the way out.  </w:t>
      </w:r>
    </w:p>
    <w:p w:rsidR="00F91C97" w:rsidRPr="00F91C97" w:rsidRDefault="00F91C97" w:rsidP="00F91C97">
      <w:pPr>
        <w:spacing w:before="150" w:after="150" w:line="240" w:lineRule="auto"/>
        <w:jc w:val="both"/>
        <w:rPr>
          <w:rFonts w:ascii="Times New Roman" w:hAnsi="Times New Roman" w:cs="Times New Roman"/>
          <w:b/>
          <w:bCs/>
          <w:color w:val="4C4C4C"/>
          <w:sz w:val="24"/>
          <w:szCs w:val="24"/>
          <w:shd w:val="clear" w:color="auto" w:fill="FFFFFF"/>
        </w:rPr>
      </w:pPr>
    </w:p>
    <w:p w:rsidR="001C5DE9" w:rsidRPr="00F91C97" w:rsidRDefault="001C5DE9" w:rsidP="00F91C97">
      <w:pPr>
        <w:spacing w:before="150" w:after="150" w:line="240" w:lineRule="auto"/>
        <w:jc w:val="both"/>
        <w:rPr>
          <w:rFonts w:ascii="Times New Roman" w:hAnsi="Times New Roman" w:cs="Times New Roman"/>
          <w:b/>
          <w:bCs/>
          <w:color w:val="4C4C4C"/>
          <w:sz w:val="24"/>
          <w:szCs w:val="24"/>
          <w:shd w:val="clear" w:color="auto" w:fill="FFFFFF"/>
        </w:rPr>
      </w:pPr>
      <w:r w:rsidRPr="00F91C97">
        <w:rPr>
          <w:rFonts w:ascii="Times New Roman" w:hAnsi="Times New Roman" w:cs="Times New Roman"/>
          <w:b/>
          <w:bCs/>
          <w:color w:val="4C4C4C"/>
          <w:sz w:val="24"/>
          <w:szCs w:val="24"/>
          <w:shd w:val="clear" w:color="auto" w:fill="FFFFFF"/>
        </w:rPr>
        <w:t>Conference / Journal Link:</w:t>
      </w:r>
    </w:p>
    <w:bookmarkStart w:id="1" w:name="cj_link"/>
    <w:p w:rsidR="00F91C97" w:rsidRPr="00F91C97" w:rsidRDefault="00F91C97" w:rsidP="00F91C97">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F91C97">
        <w:rPr>
          <w:rFonts w:ascii="Times New Roman" w:hAnsi="Times New Roman" w:cs="Times New Roman"/>
          <w:color w:val="2E74B5" w:themeColor="accent1" w:themeShade="BF"/>
          <w:sz w:val="24"/>
          <w:szCs w:val="24"/>
        </w:rPr>
        <w:fldChar w:fldCharType="begin"/>
      </w:r>
      <w:r w:rsidRPr="00F91C97">
        <w:rPr>
          <w:rFonts w:ascii="Times New Roman" w:hAnsi="Times New Roman" w:cs="Times New Roman"/>
          <w:color w:val="2E74B5" w:themeColor="accent1" w:themeShade="BF"/>
          <w:sz w:val="24"/>
          <w:szCs w:val="24"/>
        </w:rPr>
        <w:instrText xml:space="preserve"> HYPERLINK "https://www.ijrte.org/wp-content/uploads/papers/v8i2S10/B11060982S1019.pdf" \t "_blank" </w:instrText>
      </w:r>
      <w:r w:rsidRPr="00F91C97">
        <w:rPr>
          <w:rFonts w:ascii="Times New Roman" w:hAnsi="Times New Roman" w:cs="Times New Roman"/>
          <w:color w:val="2E74B5" w:themeColor="accent1" w:themeShade="BF"/>
          <w:sz w:val="24"/>
          <w:szCs w:val="24"/>
        </w:rPr>
        <w:fldChar w:fldCharType="separate"/>
      </w:r>
      <w:r w:rsidRPr="00F91C97">
        <w:rPr>
          <w:rStyle w:val="Hyperlink"/>
          <w:rFonts w:ascii="Times New Roman" w:hAnsi="Times New Roman" w:cs="Times New Roman"/>
          <w:color w:val="2E74B5" w:themeColor="accent1" w:themeShade="BF"/>
          <w:sz w:val="24"/>
          <w:szCs w:val="24"/>
          <w:u w:val="none"/>
          <w:shd w:val="clear" w:color="auto" w:fill="FFFFFF"/>
        </w:rPr>
        <w:t>https://www.ijrte.org/wp-content/uploads/papers/v8i2S10/B11060982S1019.pdf</w:t>
      </w:r>
      <w:r w:rsidRPr="00F91C97">
        <w:rPr>
          <w:rFonts w:ascii="Times New Roman" w:hAnsi="Times New Roman" w:cs="Times New Roman"/>
          <w:color w:val="2E74B5" w:themeColor="accent1" w:themeShade="BF"/>
          <w:sz w:val="24"/>
          <w:szCs w:val="24"/>
        </w:rPr>
        <w:fldChar w:fldCharType="end"/>
      </w:r>
      <w:bookmarkEnd w:id="1"/>
    </w:p>
    <w:p w:rsidR="00D0008B" w:rsidRPr="00F91C97" w:rsidRDefault="00D0008B" w:rsidP="00F91C97">
      <w:pPr>
        <w:jc w:val="both"/>
        <w:rPr>
          <w:rFonts w:ascii="Times New Roman" w:hAnsi="Times New Roman" w:cs="Times New Roman"/>
          <w:sz w:val="24"/>
          <w:szCs w:val="24"/>
        </w:rPr>
      </w:pPr>
    </w:p>
    <w:sectPr w:rsidR="00D0008B" w:rsidRPr="00F91C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22AF7"/>
    <w:rsid w:val="0004436E"/>
    <w:rsid w:val="00051D68"/>
    <w:rsid w:val="00053E44"/>
    <w:rsid w:val="000F4745"/>
    <w:rsid w:val="0014543D"/>
    <w:rsid w:val="00145E3C"/>
    <w:rsid w:val="00197274"/>
    <w:rsid w:val="001C5DE9"/>
    <w:rsid w:val="00204521"/>
    <w:rsid w:val="002C0B05"/>
    <w:rsid w:val="003209CF"/>
    <w:rsid w:val="00384EA1"/>
    <w:rsid w:val="003C0050"/>
    <w:rsid w:val="00436BE6"/>
    <w:rsid w:val="00452687"/>
    <w:rsid w:val="004D55BF"/>
    <w:rsid w:val="0050335E"/>
    <w:rsid w:val="0051294E"/>
    <w:rsid w:val="005F7E27"/>
    <w:rsid w:val="00614BEB"/>
    <w:rsid w:val="00671A54"/>
    <w:rsid w:val="006C176A"/>
    <w:rsid w:val="006C7DF3"/>
    <w:rsid w:val="006F2FC2"/>
    <w:rsid w:val="0071519C"/>
    <w:rsid w:val="00812485"/>
    <w:rsid w:val="008F2100"/>
    <w:rsid w:val="008F33A5"/>
    <w:rsid w:val="009043A4"/>
    <w:rsid w:val="00937397"/>
    <w:rsid w:val="00982A47"/>
    <w:rsid w:val="0099662C"/>
    <w:rsid w:val="009B3127"/>
    <w:rsid w:val="009E0C23"/>
    <w:rsid w:val="009E22F9"/>
    <w:rsid w:val="00A91FB1"/>
    <w:rsid w:val="00B0300C"/>
    <w:rsid w:val="00B930C5"/>
    <w:rsid w:val="00BB33BF"/>
    <w:rsid w:val="00BD4B8D"/>
    <w:rsid w:val="00C02829"/>
    <w:rsid w:val="00CA08FE"/>
    <w:rsid w:val="00CF649C"/>
    <w:rsid w:val="00D0008B"/>
    <w:rsid w:val="00E20B35"/>
    <w:rsid w:val="00E365FE"/>
    <w:rsid w:val="00E71465"/>
    <w:rsid w:val="00E8698E"/>
    <w:rsid w:val="00F87024"/>
    <w:rsid w:val="00F91C97"/>
    <w:rsid w:val="00F962A9"/>
    <w:rsid w:val="00FF0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117</Words>
  <Characters>669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2022-02-20T09:06:00Z</dcterms:created>
  <dcterms:modified xsi:type="dcterms:W3CDTF">2022-02-24T03:59:00Z</dcterms:modified>
</cp:coreProperties>
</file>