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940" w:rsidRPr="00031585" w:rsidRDefault="00031585">
      <w:pPr>
        <w:rPr>
          <w:rFonts w:ascii="Times New Roman" w:hAnsi="Times New Roman" w:cs="Times New Roman"/>
          <w:color w:val="4C4C4C"/>
          <w:sz w:val="44"/>
          <w:szCs w:val="44"/>
          <w:shd w:val="clear" w:color="auto" w:fill="FFFFFF"/>
        </w:rPr>
      </w:pPr>
      <w:r w:rsidRPr="00031585">
        <w:rPr>
          <w:rFonts w:ascii="Times New Roman" w:hAnsi="Times New Roman" w:cs="Times New Roman"/>
          <w:color w:val="4C4C4C"/>
          <w:sz w:val="44"/>
          <w:szCs w:val="44"/>
          <w:shd w:val="clear" w:color="auto" w:fill="FFFFFF"/>
        </w:rPr>
        <w:t xml:space="preserve">Applying </w:t>
      </w:r>
      <w:r w:rsidRPr="00031585">
        <w:rPr>
          <w:rFonts w:ascii="Times New Roman" w:hAnsi="Times New Roman" w:cs="Times New Roman"/>
          <w:color w:val="4C4C4C"/>
          <w:sz w:val="44"/>
          <w:szCs w:val="44"/>
          <w:shd w:val="clear" w:color="auto" w:fill="FFFFFF"/>
        </w:rPr>
        <w:t xml:space="preserve">A Dynamic </w:t>
      </w:r>
      <w:r w:rsidRPr="00031585">
        <w:rPr>
          <w:rFonts w:ascii="Times New Roman" w:hAnsi="Times New Roman" w:cs="Times New Roman"/>
          <w:color w:val="4C4C4C"/>
          <w:sz w:val="44"/>
          <w:szCs w:val="44"/>
          <w:shd w:val="clear" w:color="auto" w:fill="FFFFFF"/>
        </w:rPr>
        <w:t xml:space="preserve">ARDL </w:t>
      </w:r>
      <w:r w:rsidRPr="00031585">
        <w:rPr>
          <w:rFonts w:ascii="Times New Roman" w:hAnsi="Times New Roman" w:cs="Times New Roman"/>
          <w:color w:val="4C4C4C"/>
          <w:sz w:val="44"/>
          <w:szCs w:val="44"/>
          <w:shd w:val="clear" w:color="auto" w:fill="FFFFFF"/>
        </w:rPr>
        <w:t xml:space="preserve">Approach To the </w:t>
      </w:r>
      <w:r w:rsidRPr="00031585">
        <w:rPr>
          <w:rFonts w:ascii="Times New Roman" w:hAnsi="Times New Roman" w:cs="Times New Roman"/>
          <w:color w:val="4C4C4C"/>
          <w:sz w:val="44"/>
          <w:szCs w:val="44"/>
          <w:shd w:val="clear" w:color="auto" w:fill="FFFFFF"/>
        </w:rPr>
        <w:t xml:space="preserve">Environmental Phillips Curve </w:t>
      </w:r>
      <w:r w:rsidRPr="00031585">
        <w:rPr>
          <w:rFonts w:ascii="Times New Roman" w:hAnsi="Times New Roman" w:cs="Times New Roman"/>
          <w:color w:val="4C4C4C"/>
          <w:sz w:val="44"/>
          <w:szCs w:val="44"/>
          <w:shd w:val="clear" w:color="auto" w:fill="FFFFFF"/>
        </w:rPr>
        <w:t>(</w:t>
      </w:r>
      <w:r w:rsidRPr="00031585">
        <w:rPr>
          <w:rFonts w:ascii="Times New Roman" w:hAnsi="Times New Roman" w:cs="Times New Roman"/>
          <w:color w:val="4C4C4C"/>
          <w:sz w:val="44"/>
          <w:szCs w:val="44"/>
          <w:shd w:val="clear" w:color="auto" w:fill="FFFFFF"/>
        </w:rPr>
        <w:t>EPC</w:t>
      </w:r>
      <w:r w:rsidRPr="00031585">
        <w:rPr>
          <w:rFonts w:ascii="Times New Roman" w:hAnsi="Times New Roman" w:cs="Times New Roman"/>
          <w:color w:val="4C4C4C"/>
          <w:sz w:val="44"/>
          <w:szCs w:val="44"/>
          <w:shd w:val="clear" w:color="auto" w:fill="FFFFFF"/>
        </w:rPr>
        <w:t xml:space="preserve">) Hypothesis amid Monetary, Fiscal, and Trade Policy Uncertainty in the </w:t>
      </w:r>
      <w:r w:rsidRPr="00031585">
        <w:rPr>
          <w:rFonts w:ascii="Times New Roman" w:hAnsi="Times New Roman" w:cs="Times New Roman"/>
          <w:color w:val="4C4C4C"/>
          <w:sz w:val="44"/>
          <w:szCs w:val="44"/>
          <w:shd w:val="clear" w:color="auto" w:fill="FFFFFF"/>
        </w:rPr>
        <w:t>USA</w:t>
      </w:r>
      <w:bookmarkStart w:id="0" w:name="_GoBack"/>
      <w:bookmarkEnd w:id="0"/>
    </w:p>
    <w:p w:rsidR="00031585" w:rsidRPr="00031585" w:rsidRDefault="00031585">
      <w:pPr>
        <w:rPr>
          <w:rFonts w:ascii="Times New Roman" w:hAnsi="Times New Roman" w:cs="Times New Roman"/>
          <w:sz w:val="24"/>
          <w:szCs w:val="24"/>
        </w:rPr>
      </w:pPr>
      <w:hyperlink r:id="rId4" w:history="1">
        <w:r w:rsidRPr="00031585">
          <w:rPr>
            <w:rStyle w:val="Hyperlink"/>
            <w:rFonts w:ascii="Times New Roman" w:hAnsi="Times New Roman" w:cs="Times New Roman"/>
            <w:color w:val="auto"/>
            <w:sz w:val="24"/>
            <w:szCs w:val="24"/>
            <w:u w:val="none"/>
            <w:shd w:val="clear" w:color="auto" w:fill="FFFFFF"/>
          </w:rPr>
          <w:t>Roni Bhowmik</w:t>
        </w:r>
      </w:hyperlink>
      <w:r w:rsidRPr="00031585">
        <w:rPr>
          <w:rFonts w:ascii="Times New Roman" w:hAnsi="Times New Roman" w:cs="Times New Roman"/>
          <w:sz w:val="24"/>
          <w:szCs w:val="24"/>
        </w:rPr>
        <w:t xml:space="preserve">, </w:t>
      </w:r>
      <w:hyperlink r:id="rId5" w:history="1">
        <w:r w:rsidRPr="00031585">
          <w:rPr>
            <w:rStyle w:val="Hyperlink"/>
            <w:rFonts w:ascii="Times New Roman" w:hAnsi="Times New Roman" w:cs="Times New Roman"/>
            <w:color w:val="auto"/>
            <w:sz w:val="24"/>
            <w:szCs w:val="24"/>
            <w:u w:val="none"/>
          </w:rPr>
          <w:t>Qasim Raza Syed</w:t>
        </w:r>
      </w:hyperlink>
      <w:r w:rsidRPr="00031585">
        <w:rPr>
          <w:rStyle w:val="authors-list-item"/>
          <w:rFonts w:ascii="Times New Roman" w:hAnsi="Times New Roman" w:cs="Times New Roman"/>
          <w:sz w:val="24"/>
          <w:szCs w:val="24"/>
          <w:shd w:val="clear" w:color="auto" w:fill="FFFFFF"/>
        </w:rPr>
        <w:t xml:space="preserve">, </w:t>
      </w:r>
      <w:hyperlink r:id="rId6" w:history="1">
        <w:r w:rsidRPr="00031585">
          <w:rPr>
            <w:rStyle w:val="Hyperlink"/>
            <w:rFonts w:ascii="Times New Roman" w:hAnsi="Times New Roman" w:cs="Times New Roman"/>
            <w:color w:val="auto"/>
            <w:sz w:val="24"/>
            <w:szCs w:val="24"/>
            <w:u w:val="none"/>
            <w:shd w:val="clear" w:color="auto" w:fill="FFFFFF"/>
          </w:rPr>
          <w:t>Nicholas Apergis</w:t>
        </w:r>
      </w:hyperlink>
      <w:r w:rsidRPr="00031585">
        <w:rPr>
          <w:rFonts w:ascii="Times New Roman" w:hAnsi="Times New Roman" w:cs="Times New Roman"/>
          <w:sz w:val="24"/>
          <w:szCs w:val="24"/>
        </w:rPr>
        <w:t xml:space="preserve">, </w:t>
      </w:r>
      <w:hyperlink r:id="rId7" w:history="1">
        <w:r w:rsidRPr="00031585">
          <w:rPr>
            <w:rStyle w:val="Hyperlink"/>
            <w:rFonts w:ascii="Times New Roman" w:hAnsi="Times New Roman" w:cs="Times New Roman"/>
            <w:color w:val="auto"/>
            <w:sz w:val="24"/>
            <w:szCs w:val="24"/>
            <w:u w:val="none"/>
          </w:rPr>
          <w:t>Andrew A Alola</w:t>
        </w:r>
      </w:hyperlink>
      <w:r w:rsidRPr="00031585">
        <w:rPr>
          <w:rStyle w:val="authors-list-item"/>
          <w:rFonts w:ascii="Times New Roman" w:hAnsi="Times New Roman" w:cs="Times New Roman"/>
          <w:sz w:val="24"/>
          <w:szCs w:val="24"/>
          <w:shd w:val="clear" w:color="auto" w:fill="FFFFFF"/>
        </w:rPr>
        <w:t xml:space="preserve">, </w:t>
      </w:r>
      <w:hyperlink r:id="rId8" w:history="1">
        <w:r w:rsidRPr="00031585">
          <w:rPr>
            <w:rStyle w:val="Hyperlink"/>
            <w:rFonts w:ascii="Times New Roman" w:hAnsi="Times New Roman" w:cs="Times New Roman"/>
            <w:color w:val="auto"/>
            <w:sz w:val="24"/>
            <w:szCs w:val="24"/>
            <w:u w:val="none"/>
            <w:shd w:val="clear" w:color="auto" w:fill="FFFFFF"/>
          </w:rPr>
          <w:t>Zeyu Gai</w:t>
        </w:r>
      </w:hyperlink>
    </w:p>
    <w:p w:rsidR="00031585" w:rsidRPr="00031585" w:rsidRDefault="00031585" w:rsidP="00031585">
      <w:pPr>
        <w:spacing w:before="150" w:after="150" w:line="240" w:lineRule="auto"/>
        <w:jc w:val="both"/>
        <w:rPr>
          <w:rFonts w:ascii="Times New Roman" w:eastAsia="Times New Roman" w:hAnsi="Times New Roman" w:cs="Times New Roman"/>
          <w:color w:val="4C4C4C"/>
          <w:sz w:val="24"/>
          <w:szCs w:val="24"/>
        </w:rPr>
      </w:pPr>
      <w:r w:rsidRPr="00031585">
        <w:rPr>
          <w:rFonts w:ascii="Times New Roman" w:eastAsia="Times New Roman" w:hAnsi="Times New Roman" w:cs="Times New Roman"/>
          <w:color w:val="4C4C4C"/>
          <w:sz w:val="24"/>
          <w:szCs w:val="24"/>
        </w:rPr>
        <w:t>Abstract</w:t>
      </w:r>
    </w:p>
    <w:p w:rsidR="00031585" w:rsidRPr="00031585" w:rsidRDefault="00031585" w:rsidP="00031585">
      <w:pPr>
        <w:jc w:val="both"/>
        <w:rPr>
          <w:rFonts w:ascii="Times New Roman" w:hAnsi="Times New Roman" w:cs="Times New Roman"/>
          <w:color w:val="4C4C4C"/>
          <w:sz w:val="24"/>
          <w:szCs w:val="24"/>
          <w:shd w:val="clear" w:color="auto" w:fill="FFFFFF"/>
        </w:rPr>
      </w:pPr>
      <w:r w:rsidRPr="00031585">
        <w:rPr>
          <w:rFonts w:ascii="Times New Roman" w:hAnsi="Times New Roman" w:cs="Times New Roman"/>
          <w:color w:val="4C4C4C"/>
          <w:sz w:val="24"/>
          <w:szCs w:val="24"/>
          <w:shd w:val="clear" w:color="auto" w:fill="FFFFFF"/>
        </w:rPr>
        <w:t xml:space="preserve">It is well known that unemployment and environmental degradation are two critical issues across the globe. However, there is an extended dearth of literature that explores the nexus between unemployment and environmental degradation. </w:t>
      </w:r>
      <w:proofErr w:type="spellStart"/>
      <w:r w:rsidRPr="00031585">
        <w:rPr>
          <w:rFonts w:ascii="Times New Roman" w:hAnsi="Times New Roman" w:cs="Times New Roman"/>
          <w:color w:val="4C4C4C"/>
          <w:sz w:val="24"/>
          <w:szCs w:val="24"/>
          <w:shd w:val="clear" w:color="auto" w:fill="FFFFFF"/>
        </w:rPr>
        <w:t>Kashem</w:t>
      </w:r>
      <w:proofErr w:type="spellEnd"/>
      <w:r w:rsidRPr="00031585">
        <w:rPr>
          <w:rFonts w:ascii="Times New Roman" w:hAnsi="Times New Roman" w:cs="Times New Roman"/>
          <w:color w:val="4C4C4C"/>
          <w:sz w:val="24"/>
          <w:szCs w:val="24"/>
          <w:shd w:val="clear" w:color="auto" w:fill="FFFFFF"/>
        </w:rPr>
        <w:t xml:space="preserve"> and Rahman (Environ. Sci. </w:t>
      </w:r>
      <w:proofErr w:type="spellStart"/>
      <w:r w:rsidRPr="00031585">
        <w:rPr>
          <w:rFonts w:ascii="Times New Roman" w:hAnsi="Times New Roman" w:cs="Times New Roman"/>
          <w:color w:val="4C4C4C"/>
          <w:sz w:val="24"/>
          <w:szCs w:val="24"/>
          <w:shd w:val="clear" w:color="auto" w:fill="FFFFFF"/>
        </w:rPr>
        <w:t>Pollut</w:t>
      </w:r>
      <w:proofErr w:type="spellEnd"/>
      <w:r w:rsidRPr="00031585">
        <w:rPr>
          <w:rFonts w:ascii="Times New Roman" w:hAnsi="Times New Roman" w:cs="Times New Roman"/>
          <w:color w:val="4C4C4C"/>
          <w:sz w:val="24"/>
          <w:szCs w:val="24"/>
          <w:shd w:val="clear" w:color="auto" w:fill="FFFFFF"/>
        </w:rPr>
        <w:t>. Res. 27(101): 31153–31170, 2020) put forward the Environmental Phillips Curve (EPC) hypothesis, which depicts a negative relationship between unemployment and environmental degradation. This study further explores the validity of the EPC hypothesis in the case of the USA. It also investigates the impact of monetary policy uncertainty (MU), fiscal policy uncertainty (FU), and trade policy uncertainty (TU) on carbon dioxide emissions. To this end, the analysis employs the novel methodology of the dynamic ARDL model. The results document that EPC does not hold in the short run, but it does in the long run. Furthermore, both in the short and long run, MU escalates CO</w:t>
      </w:r>
      <w:r w:rsidRPr="00031585">
        <w:rPr>
          <w:rFonts w:ascii="Times New Roman" w:hAnsi="Times New Roman" w:cs="Times New Roman"/>
          <w:color w:val="4C4C4C"/>
          <w:sz w:val="24"/>
          <w:szCs w:val="24"/>
          <w:shd w:val="clear" w:color="auto" w:fill="FFFFFF"/>
          <w:vertAlign w:val="subscript"/>
        </w:rPr>
        <w:t>2</w:t>
      </w:r>
      <w:r w:rsidRPr="00031585">
        <w:rPr>
          <w:rFonts w:ascii="Times New Roman" w:hAnsi="Times New Roman" w:cs="Times New Roman"/>
          <w:color w:val="4C4C4C"/>
          <w:sz w:val="24"/>
          <w:szCs w:val="24"/>
          <w:shd w:val="clear" w:color="auto" w:fill="FFFFFF"/>
        </w:rPr>
        <w:t> emissions, while FU plunges emissions in both the short and long run. Finally, TU does not alter the level of CO</w:t>
      </w:r>
      <w:r w:rsidRPr="00031585">
        <w:rPr>
          <w:rFonts w:ascii="Times New Roman" w:hAnsi="Times New Roman" w:cs="Times New Roman"/>
          <w:color w:val="4C4C4C"/>
          <w:sz w:val="24"/>
          <w:szCs w:val="24"/>
          <w:shd w:val="clear" w:color="auto" w:fill="FFFFFF"/>
          <w:vertAlign w:val="subscript"/>
        </w:rPr>
        <w:t>2</w:t>
      </w:r>
      <w:r w:rsidRPr="00031585">
        <w:rPr>
          <w:rFonts w:ascii="Times New Roman" w:hAnsi="Times New Roman" w:cs="Times New Roman"/>
          <w:color w:val="4C4C4C"/>
          <w:sz w:val="24"/>
          <w:szCs w:val="24"/>
          <w:shd w:val="clear" w:color="auto" w:fill="FFFFFF"/>
        </w:rPr>
        <w:t> emissions.</w:t>
      </w:r>
    </w:p>
    <w:p w:rsidR="00031585" w:rsidRPr="00031585" w:rsidRDefault="00031585">
      <w:pPr>
        <w:rPr>
          <w:rFonts w:ascii="Times New Roman" w:hAnsi="Times New Roman" w:cs="Times New Roman"/>
          <w:color w:val="4C4C4C"/>
          <w:sz w:val="24"/>
          <w:szCs w:val="24"/>
          <w:shd w:val="clear" w:color="auto" w:fill="FFFFFF"/>
        </w:rPr>
      </w:pPr>
      <w:r w:rsidRPr="00031585">
        <w:rPr>
          <w:rFonts w:ascii="Times New Roman" w:hAnsi="Times New Roman" w:cs="Times New Roman"/>
          <w:b/>
          <w:bCs/>
          <w:color w:val="4C4C4C"/>
          <w:sz w:val="24"/>
          <w:szCs w:val="24"/>
          <w:shd w:val="clear" w:color="auto" w:fill="FFFFFF"/>
        </w:rPr>
        <w:t>Keywords</w:t>
      </w:r>
      <w:r w:rsidRPr="00031585">
        <w:rPr>
          <w:rFonts w:ascii="Times New Roman" w:hAnsi="Times New Roman" w:cs="Times New Roman"/>
          <w:b/>
          <w:bCs/>
          <w:color w:val="4C4C4C"/>
          <w:sz w:val="24"/>
          <w:szCs w:val="24"/>
          <w:shd w:val="clear" w:color="auto" w:fill="FFFFFF"/>
        </w:rPr>
        <w:t xml:space="preserve">: </w:t>
      </w:r>
      <w:r w:rsidRPr="00031585">
        <w:rPr>
          <w:rFonts w:ascii="Times New Roman" w:hAnsi="Times New Roman" w:cs="Times New Roman"/>
          <w:color w:val="4C4C4C"/>
          <w:sz w:val="24"/>
          <w:szCs w:val="24"/>
          <w:shd w:val="clear" w:color="auto" w:fill="FFFFFF"/>
        </w:rPr>
        <w:t>CO2 emissions; Dynamic ARDL model; Environmental Phillips Curve; Fiscal policy uncertainty; Monetary policy uncertainty; Trade policy uncertainty.</w:t>
      </w:r>
    </w:p>
    <w:p w:rsidR="00031585" w:rsidRPr="00031585" w:rsidRDefault="00031585">
      <w:pPr>
        <w:rPr>
          <w:rFonts w:ascii="Times New Roman" w:hAnsi="Times New Roman" w:cs="Times New Roman"/>
          <w:b/>
          <w:bCs/>
          <w:color w:val="4C4C4C"/>
          <w:sz w:val="24"/>
          <w:szCs w:val="24"/>
          <w:shd w:val="clear" w:color="auto" w:fill="FFFFFF"/>
        </w:rPr>
      </w:pPr>
      <w:r w:rsidRPr="00031585">
        <w:rPr>
          <w:rFonts w:ascii="Times New Roman" w:hAnsi="Times New Roman" w:cs="Times New Roman"/>
          <w:b/>
          <w:bCs/>
          <w:color w:val="4C4C4C"/>
          <w:sz w:val="24"/>
          <w:szCs w:val="24"/>
          <w:shd w:val="clear" w:color="auto" w:fill="FFFFFF"/>
        </w:rPr>
        <w:t>Conference / Journal Link</w:t>
      </w:r>
    </w:p>
    <w:bookmarkStart w:id="1" w:name="cj_link"/>
    <w:p w:rsidR="00031585" w:rsidRPr="00031585" w:rsidRDefault="00031585">
      <w:pPr>
        <w:rPr>
          <w:rFonts w:ascii="Times New Roman" w:hAnsi="Times New Roman" w:cs="Times New Roman"/>
          <w:sz w:val="24"/>
          <w:szCs w:val="24"/>
        </w:rPr>
      </w:pPr>
      <w:r w:rsidRPr="00031585">
        <w:rPr>
          <w:rFonts w:ascii="Times New Roman" w:hAnsi="Times New Roman" w:cs="Times New Roman"/>
          <w:sz w:val="24"/>
          <w:szCs w:val="24"/>
        </w:rPr>
        <w:fldChar w:fldCharType="begin"/>
      </w:r>
      <w:r w:rsidRPr="00031585">
        <w:rPr>
          <w:rFonts w:ascii="Times New Roman" w:hAnsi="Times New Roman" w:cs="Times New Roman"/>
          <w:sz w:val="24"/>
          <w:szCs w:val="24"/>
        </w:rPr>
        <w:instrText xml:space="preserve"> HYPERLINK "https://pubmed.ncbi.nlm.nih.gov/34622412/" \t "_blank" </w:instrText>
      </w:r>
      <w:r w:rsidRPr="00031585">
        <w:rPr>
          <w:rFonts w:ascii="Times New Roman" w:hAnsi="Times New Roman" w:cs="Times New Roman"/>
          <w:sz w:val="24"/>
          <w:szCs w:val="24"/>
        </w:rPr>
        <w:fldChar w:fldCharType="separate"/>
      </w:r>
      <w:r w:rsidRPr="00031585">
        <w:rPr>
          <w:rStyle w:val="Hyperlink"/>
          <w:rFonts w:ascii="Times New Roman" w:hAnsi="Times New Roman" w:cs="Times New Roman"/>
          <w:color w:val="424242"/>
          <w:sz w:val="24"/>
          <w:szCs w:val="24"/>
          <w:u w:val="none"/>
          <w:shd w:val="clear" w:color="auto" w:fill="FFFFFF"/>
        </w:rPr>
        <w:t>https://pubmed.ncbi.nlm.nih.gov/34622412/</w:t>
      </w:r>
      <w:r w:rsidRPr="00031585">
        <w:rPr>
          <w:rFonts w:ascii="Times New Roman" w:hAnsi="Times New Roman" w:cs="Times New Roman"/>
          <w:sz w:val="24"/>
          <w:szCs w:val="24"/>
        </w:rPr>
        <w:fldChar w:fldCharType="end"/>
      </w:r>
      <w:bookmarkEnd w:id="1"/>
    </w:p>
    <w:sectPr w:rsidR="00031585" w:rsidRPr="00031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585"/>
    <w:rsid w:val="00031585"/>
    <w:rsid w:val="00676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440E5-02B0-49EB-97AA-935C7242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1585"/>
    <w:rPr>
      <w:color w:val="0000FF"/>
      <w:u w:val="single"/>
    </w:rPr>
  </w:style>
  <w:style w:type="character" w:customStyle="1" w:styleId="authors-list-item">
    <w:name w:val="authors-list-item"/>
    <w:basedOn w:val="DefaultParagraphFont"/>
    <w:rsid w:val="00031585"/>
  </w:style>
  <w:style w:type="character" w:customStyle="1" w:styleId="comma">
    <w:name w:val="comma"/>
    <w:basedOn w:val="DefaultParagraphFont"/>
    <w:rsid w:val="00031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51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Gai+Z&amp;cauthor_id=34622412" TargetMode="External"/><Relationship Id="rId3" Type="http://schemas.openxmlformats.org/officeDocument/2006/relationships/webSettings" Target="webSettings.xml"/><Relationship Id="rId7" Type="http://schemas.openxmlformats.org/officeDocument/2006/relationships/hyperlink" Target="https://pubmed.ncbi.nlm.nih.gov/?term=Alola+AA&amp;cauthor_id=346224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Apergis+N&amp;cauthor_id=34622412" TargetMode="External"/><Relationship Id="rId5" Type="http://schemas.openxmlformats.org/officeDocument/2006/relationships/hyperlink" Target="https://pubmed.ncbi.nlm.nih.gov/?term=Syed+QR&amp;cauthor_id=34622412" TargetMode="External"/><Relationship Id="rId10" Type="http://schemas.openxmlformats.org/officeDocument/2006/relationships/theme" Target="theme/theme1.xml"/><Relationship Id="rId4" Type="http://schemas.openxmlformats.org/officeDocument/2006/relationships/hyperlink" Target="https://pubmed.ncbi.nlm.nih.gov/?term=Bhowmik+R&amp;cauthor_id=3462241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2022-02-27T06:47:00Z</dcterms:created>
  <dcterms:modified xsi:type="dcterms:W3CDTF">2022-02-27T06:56:00Z</dcterms:modified>
</cp:coreProperties>
</file>