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E81" w:rsidRDefault="007F6E81" w:rsidP="007F6E81">
      <w:pPr>
        <w:spacing w:before="150" w:after="150" w:line="240" w:lineRule="auto"/>
        <w:jc w:val="both"/>
        <w:rPr>
          <w:rFonts w:ascii="Times New Roman" w:eastAsia="Times New Roman" w:hAnsi="Times New Roman" w:cs="Times New Roman"/>
          <w:color w:val="4C4C4C"/>
          <w:sz w:val="40"/>
          <w:szCs w:val="40"/>
        </w:rPr>
      </w:pPr>
      <w:r w:rsidRPr="007F6E81">
        <w:rPr>
          <w:rFonts w:ascii="Times New Roman" w:eastAsia="Times New Roman" w:hAnsi="Times New Roman" w:cs="Times New Roman"/>
          <w:color w:val="4C4C4C"/>
          <w:sz w:val="40"/>
          <w:szCs w:val="40"/>
        </w:rPr>
        <w:t xml:space="preserve">Design of </w:t>
      </w:r>
      <w:proofErr w:type="spellStart"/>
      <w:r w:rsidRPr="007F6E81">
        <w:rPr>
          <w:rFonts w:ascii="Times New Roman" w:eastAsia="Times New Roman" w:hAnsi="Times New Roman" w:cs="Times New Roman"/>
          <w:color w:val="4C4C4C"/>
          <w:sz w:val="40"/>
          <w:szCs w:val="40"/>
        </w:rPr>
        <w:t>Microstrip</w:t>
      </w:r>
      <w:proofErr w:type="spellEnd"/>
      <w:r w:rsidRPr="007F6E81">
        <w:rPr>
          <w:rFonts w:ascii="Times New Roman" w:eastAsia="Times New Roman" w:hAnsi="Times New Roman" w:cs="Times New Roman"/>
          <w:color w:val="4C4C4C"/>
          <w:sz w:val="40"/>
          <w:szCs w:val="40"/>
        </w:rPr>
        <w:t xml:space="preserve"> Patch Antenna to Depl</w:t>
      </w:r>
      <w:r>
        <w:rPr>
          <w:rFonts w:ascii="Times New Roman" w:eastAsia="Times New Roman" w:hAnsi="Times New Roman" w:cs="Times New Roman"/>
          <w:color w:val="4C4C4C"/>
          <w:sz w:val="40"/>
          <w:szCs w:val="40"/>
        </w:rPr>
        <w:t>oy Unmanned Aerial Vehicle as UE</w:t>
      </w:r>
      <w:r w:rsidRPr="007F6E81">
        <w:rPr>
          <w:rFonts w:ascii="Times New Roman" w:eastAsia="Times New Roman" w:hAnsi="Times New Roman" w:cs="Times New Roman"/>
          <w:color w:val="4C4C4C"/>
          <w:sz w:val="40"/>
          <w:szCs w:val="40"/>
        </w:rPr>
        <w:t xml:space="preserve"> in 5g Wireless Network</w:t>
      </w:r>
    </w:p>
    <w:p w:rsidR="007F6E81" w:rsidRPr="007F6E81" w:rsidRDefault="007F6E81" w:rsidP="007F6E81">
      <w:pPr>
        <w:spacing w:before="150" w:after="150" w:line="240" w:lineRule="auto"/>
        <w:jc w:val="both"/>
        <w:rPr>
          <w:rFonts w:ascii="Times New Roman" w:eastAsia="Times New Roman" w:hAnsi="Times New Roman" w:cs="Times New Roman"/>
          <w:color w:val="4C4C4C"/>
          <w:sz w:val="40"/>
          <w:szCs w:val="40"/>
        </w:rPr>
      </w:pPr>
    </w:p>
    <w:p w:rsidR="007F6E81" w:rsidRPr="007F6E81" w:rsidRDefault="007F6E81" w:rsidP="007F6E81">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r w:rsidRPr="007F6E81">
        <w:rPr>
          <w:rFonts w:ascii="Times New Roman" w:eastAsia="Times New Roman" w:hAnsi="Times New Roman" w:cs="Times New Roman"/>
          <w:iCs/>
          <w:color w:val="2E74B5" w:themeColor="accent1" w:themeShade="BF"/>
          <w:sz w:val="24"/>
          <w:szCs w:val="24"/>
        </w:rPr>
        <w:t xml:space="preserve">Abu Zafar Md. Imran, Mohammad </w:t>
      </w:r>
      <w:proofErr w:type="spellStart"/>
      <w:r w:rsidRPr="007F6E81">
        <w:rPr>
          <w:rFonts w:ascii="Times New Roman" w:eastAsia="Times New Roman" w:hAnsi="Times New Roman" w:cs="Times New Roman"/>
          <w:iCs/>
          <w:color w:val="2E74B5" w:themeColor="accent1" w:themeShade="BF"/>
          <w:sz w:val="24"/>
          <w:szCs w:val="24"/>
        </w:rPr>
        <w:t>Lutful</w:t>
      </w:r>
      <w:proofErr w:type="spellEnd"/>
      <w:r w:rsidRPr="007F6E81">
        <w:rPr>
          <w:rFonts w:ascii="Times New Roman" w:eastAsia="Times New Roman" w:hAnsi="Times New Roman" w:cs="Times New Roman"/>
          <w:iCs/>
          <w:color w:val="2E74B5" w:themeColor="accent1" w:themeShade="BF"/>
          <w:sz w:val="24"/>
          <w:szCs w:val="24"/>
        </w:rPr>
        <w:t xml:space="preserve"> Hakim, Md. </w:t>
      </w:r>
      <w:proofErr w:type="spellStart"/>
      <w:r w:rsidRPr="007F6E81">
        <w:rPr>
          <w:rFonts w:ascii="Times New Roman" w:eastAsia="Times New Roman" w:hAnsi="Times New Roman" w:cs="Times New Roman"/>
          <w:iCs/>
          <w:color w:val="2E74B5" w:themeColor="accent1" w:themeShade="BF"/>
          <w:sz w:val="24"/>
          <w:szCs w:val="24"/>
        </w:rPr>
        <w:t>Razu</w:t>
      </w:r>
      <w:proofErr w:type="spellEnd"/>
      <w:r w:rsidRPr="007F6E81">
        <w:rPr>
          <w:rFonts w:ascii="Times New Roman" w:eastAsia="Times New Roman" w:hAnsi="Times New Roman" w:cs="Times New Roman"/>
          <w:iCs/>
          <w:color w:val="2E74B5" w:themeColor="accent1" w:themeShade="BF"/>
          <w:sz w:val="24"/>
          <w:szCs w:val="24"/>
        </w:rPr>
        <w:t xml:space="preserve"> Ahmed, Mohammad </w:t>
      </w:r>
      <w:proofErr w:type="spellStart"/>
      <w:r w:rsidRPr="007F6E81">
        <w:rPr>
          <w:rFonts w:ascii="Times New Roman" w:eastAsia="Times New Roman" w:hAnsi="Times New Roman" w:cs="Times New Roman"/>
          <w:iCs/>
          <w:color w:val="2E74B5" w:themeColor="accent1" w:themeShade="BF"/>
          <w:sz w:val="24"/>
          <w:szCs w:val="24"/>
        </w:rPr>
        <w:t>Tariqul</w:t>
      </w:r>
      <w:proofErr w:type="spellEnd"/>
      <w:r w:rsidRPr="007F6E81">
        <w:rPr>
          <w:rFonts w:ascii="Times New Roman" w:eastAsia="Times New Roman" w:hAnsi="Times New Roman" w:cs="Times New Roman"/>
          <w:iCs/>
          <w:color w:val="2E74B5" w:themeColor="accent1" w:themeShade="BF"/>
          <w:sz w:val="24"/>
          <w:szCs w:val="24"/>
        </w:rPr>
        <w:t xml:space="preserve"> Islam, Elias Hossain</w:t>
      </w:r>
    </w:p>
    <w:p w:rsidR="007F6E81" w:rsidRPr="007F6E81" w:rsidRDefault="007F6E81" w:rsidP="007F6E81">
      <w:pPr>
        <w:spacing w:before="150" w:after="150" w:line="240" w:lineRule="auto"/>
        <w:jc w:val="both"/>
        <w:rPr>
          <w:rFonts w:ascii="Times New Roman" w:eastAsia="Times New Roman" w:hAnsi="Times New Roman" w:cs="Times New Roman"/>
          <w:b/>
          <w:color w:val="4C4C4C"/>
          <w:sz w:val="24"/>
          <w:szCs w:val="24"/>
        </w:rPr>
      </w:pPr>
    </w:p>
    <w:p w:rsidR="001C5DE9" w:rsidRPr="007F6E81" w:rsidRDefault="001C5DE9" w:rsidP="007F6E81">
      <w:pPr>
        <w:spacing w:before="150" w:after="150" w:line="240" w:lineRule="auto"/>
        <w:jc w:val="both"/>
        <w:rPr>
          <w:rFonts w:ascii="Times New Roman" w:eastAsia="Times New Roman" w:hAnsi="Times New Roman" w:cs="Times New Roman"/>
          <w:b/>
          <w:color w:val="4C4C4C"/>
          <w:sz w:val="24"/>
          <w:szCs w:val="24"/>
        </w:rPr>
      </w:pPr>
      <w:r w:rsidRPr="007F6E81">
        <w:rPr>
          <w:rFonts w:ascii="Times New Roman" w:eastAsia="Times New Roman" w:hAnsi="Times New Roman" w:cs="Times New Roman"/>
          <w:b/>
          <w:color w:val="4C4C4C"/>
          <w:sz w:val="24"/>
          <w:szCs w:val="24"/>
        </w:rPr>
        <w:t>Abstract:</w:t>
      </w:r>
      <w:bookmarkStart w:id="0" w:name="_GoBack"/>
      <w:bookmarkEnd w:id="0"/>
    </w:p>
    <w:p w:rsidR="007F6E81" w:rsidRPr="007F6E81" w:rsidRDefault="007F6E81" w:rsidP="007F6E81">
      <w:pPr>
        <w:spacing w:after="0" w:line="240" w:lineRule="auto"/>
        <w:jc w:val="both"/>
        <w:rPr>
          <w:rFonts w:ascii="Times New Roman" w:eastAsia="Times New Roman" w:hAnsi="Times New Roman" w:cs="Times New Roman"/>
          <w:color w:val="666666"/>
          <w:sz w:val="24"/>
          <w:szCs w:val="24"/>
        </w:rPr>
      </w:pPr>
      <w:r w:rsidRPr="007F6E81">
        <w:rPr>
          <w:rFonts w:ascii="Times New Roman" w:eastAsia="Times New Roman" w:hAnsi="Times New Roman" w:cs="Times New Roman"/>
          <w:color w:val="666666"/>
          <w:sz w:val="24"/>
          <w:szCs w:val="24"/>
        </w:rPr>
        <w:t xml:space="preserve">The use of unmanned aerial vehicle (UAV) has been increasing rapidly in the civilian and military applications, because of UAV's high-performance communication with ground clients, especially for its intrinsic properties such as adaptive altitude, mobility, and flexibility. UAV deployment can be monitored and controlled through 5G wireless network as user equipment (UE) along with other devices. A highly directive </w:t>
      </w:r>
      <w:proofErr w:type="spellStart"/>
      <w:r w:rsidRPr="007F6E81">
        <w:rPr>
          <w:rFonts w:ascii="Times New Roman" w:eastAsia="Times New Roman" w:hAnsi="Times New Roman" w:cs="Times New Roman"/>
          <w:color w:val="666666"/>
          <w:sz w:val="24"/>
          <w:szCs w:val="24"/>
        </w:rPr>
        <w:t>microstrip</w:t>
      </w:r>
      <w:proofErr w:type="spellEnd"/>
      <w:r w:rsidRPr="007F6E81">
        <w:rPr>
          <w:rFonts w:ascii="Times New Roman" w:eastAsia="Times New Roman" w:hAnsi="Times New Roman" w:cs="Times New Roman"/>
          <w:color w:val="666666"/>
          <w:sz w:val="24"/>
          <w:szCs w:val="24"/>
        </w:rPr>
        <w:t xml:space="preserve"> patch antenna (MPA) could establish long-distance communication by overcoming air attenuation and reduce co-channel interference in the limited region if UAV uses a specifically dedicated band, which might enhance spatially reuse of the spectrum. Also, MPA is highly recommended for UAV because of its low weight, low cost, compact size, and flat shape. In this paper, we have designed a highly directive single-band 2×2 and 4×4 antenna array for 5.8 GHz and 28 GHz frequency respectively for UAV application in a focus to deploy UAV through 5G wireless network. Here, The Roger RT5880 (</w:t>
      </w:r>
      <w:proofErr w:type="spellStart"/>
      <w:r w:rsidRPr="007F6E81">
        <w:rPr>
          <w:rFonts w:ascii="Times New Roman" w:eastAsia="Times New Roman" w:hAnsi="Times New Roman" w:cs="Times New Roman"/>
          <w:color w:val="666666"/>
          <w:sz w:val="24"/>
          <w:szCs w:val="24"/>
        </w:rPr>
        <w:t>lossy</w:t>
      </w:r>
      <w:proofErr w:type="spellEnd"/>
      <w:r w:rsidRPr="007F6E81">
        <w:rPr>
          <w:rFonts w:ascii="Times New Roman" w:eastAsia="Times New Roman" w:hAnsi="Times New Roman" w:cs="Times New Roman"/>
          <w:color w:val="666666"/>
          <w:sz w:val="24"/>
          <w:szCs w:val="24"/>
        </w:rPr>
        <w:t>) material utilize as a substrate due to its lower dielectric constant which achieves higher directivity and good mechanical stability. Inset feed technique used to feed antenna for lowering input impedance which provides higher antenna efficiency. The results show a wider bandwidth of 702 MHz and 1.596 GHz for 5.8 GHz and 28 GHz antenna array correspondingly with a compact size.</w:t>
      </w:r>
    </w:p>
    <w:p w:rsidR="007F6E81" w:rsidRPr="007F6E81" w:rsidRDefault="007F6E81" w:rsidP="007F6E81">
      <w:pPr>
        <w:spacing w:before="150" w:after="150" w:line="240" w:lineRule="auto"/>
        <w:jc w:val="both"/>
        <w:rPr>
          <w:rFonts w:ascii="Times New Roman" w:eastAsia="Times New Roman" w:hAnsi="Times New Roman" w:cs="Times New Roman"/>
          <w:b/>
          <w:color w:val="4C4C4C"/>
          <w:sz w:val="24"/>
          <w:szCs w:val="24"/>
        </w:rPr>
      </w:pPr>
    </w:p>
    <w:p w:rsidR="001C5DE9" w:rsidRPr="007F6E81" w:rsidRDefault="001C5DE9" w:rsidP="007F6E81">
      <w:pPr>
        <w:spacing w:before="150" w:after="150" w:line="240" w:lineRule="auto"/>
        <w:jc w:val="both"/>
        <w:rPr>
          <w:rFonts w:ascii="Times New Roman" w:hAnsi="Times New Roman" w:cs="Times New Roman"/>
          <w:b/>
          <w:bCs/>
          <w:sz w:val="24"/>
          <w:szCs w:val="24"/>
          <w:shd w:val="clear" w:color="auto" w:fill="FFFFFF"/>
        </w:rPr>
      </w:pPr>
      <w:r w:rsidRPr="007F6E81">
        <w:rPr>
          <w:rFonts w:ascii="Times New Roman" w:hAnsi="Times New Roman" w:cs="Times New Roman"/>
          <w:b/>
          <w:bCs/>
          <w:sz w:val="24"/>
          <w:szCs w:val="24"/>
          <w:shd w:val="clear" w:color="auto" w:fill="FFFFFF"/>
        </w:rPr>
        <w:t>Conference / Journal Link:</w:t>
      </w:r>
    </w:p>
    <w:bookmarkStart w:id="1" w:name="cj_link"/>
    <w:p w:rsidR="007F6E81" w:rsidRPr="007F6E81" w:rsidRDefault="007F6E81" w:rsidP="007F6E8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F6E81">
        <w:rPr>
          <w:rFonts w:ascii="Times New Roman" w:hAnsi="Times New Roman" w:cs="Times New Roman"/>
          <w:color w:val="2E74B5" w:themeColor="accent1" w:themeShade="BF"/>
          <w:sz w:val="24"/>
          <w:szCs w:val="24"/>
        </w:rPr>
        <w:fldChar w:fldCharType="begin"/>
      </w:r>
      <w:r w:rsidRPr="007F6E81">
        <w:rPr>
          <w:rFonts w:ascii="Times New Roman" w:hAnsi="Times New Roman" w:cs="Times New Roman"/>
          <w:color w:val="2E74B5" w:themeColor="accent1" w:themeShade="BF"/>
          <w:sz w:val="24"/>
          <w:szCs w:val="24"/>
        </w:rPr>
        <w:instrText xml:space="preserve"> HYPERLINK "http://ijece.iaescore.com/index.php/IJECE/article/view/24611" \t "_blank" </w:instrText>
      </w:r>
      <w:r w:rsidRPr="007F6E81">
        <w:rPr>
          <w:rFonts w:ascii="Times New Roman" w:hAnsi="Times New Roman" w:cs="Times New Roman"/>
          <w:color w:val="2E74B5" w:themeColor="accent1" w:themeShade="BF"/>
          <w:sz w:val="24"/>
          <w:szCs w:val="24"/>
        </w:rPr>
        <w:fldChar w:fldCharType="separate"/>
      </w:r>
      <w:r w:rsidRPr="007F6E81">
        <w:rPr>
          <w:rStyle w:val="Hyperlink"/>
          <w:rFonts w:ascii="Times New Roman" w:hAnsi="Times New Roman" w:cs="Times New Roman"/>
          <w:color w:val="2E74B5" w:themeColor="accent1" w:themeShade="BF"/>
          <w:sz w:val="24"/>
          <w:szCs w:val="24"/>
          <w:u w:val="none"/>
          <w:shd w:val="clear" w:color="auto" w:fill="FFFFFF"/>
        </w:rPr>
        <w:t>http://ijece.iaescore.com/index.php/IJECE/article/view/24611</w:t>
      </w:r>
      <w:r w:rsidRPr="007F6E81">
        <w:rPr>
          <w:rFonts w:ascii="Times New Roman" w:hAnsi="Times New Roman" w:cs="Times New Roman"/>
          <w:color w:val="2E74B5" w:themeColor="accent1" w:themeShade="BF"/>
          <w:sz w:val="24"/>
          <w:szCs w:val="24"/>
        </w:rPr>
        <w:fldChar w:fldCharType="end"/>
      </w:r>
      <w:bookmarkEnd w:id="1"/>
    </w:p>
    <w:p w:rsidR="001C5DE9" w:rsidRPr="007F6E81" w:rsidRDefault="001C5DE9" w:rsidP="007F6E81">
      <w:pPr>
        <w:spacing w:before="150"/>
        <w:jc w:val="both"/>
        <w:rPr>
          <w:rFonts w:ascii="Times New Roman" w:hAnsi="Times New Roman" w:cs="Times New Roman"/>
          <w:b/>
          <w:color w:val="4C4C4C"/>
          <w:sz w:val="24"/>
          <w:szCs w:val="24"/>
        </w:rPr>
      </w:pPr>
    </w:p>
    <w:p w:rsidR="001C5DE9" w:rsidRPr="007F6E81" w:rsidRDefault="001C5DE9" w:rsidP="007F6E81">
      <w:pPr>
        <w:spacing w:before="150"/>
        <w:jc w:val="both"/>
        <w:rPr>
          <w:rFonts w:ascii="Times New Roman" w:hAnsi="Times New Roman" w:cs="Times New Roman"/>
          <w:b/>
          <w:color w:val="4C4C4C"/>
          <w:sz w:val="24"/>
          <w:szCs w:val="24"/>
        </w:rPr>
      </w:pPr>
      <w:r w:rsidRPr="007F6E81">
        <w:rPr>
          <w:rFonts w:ascii="Times New Roman" w:hAnsi="Times New Roman" w:cs="Times New Roman"/>
          <w:b/>
          <w:color w:val="4C4C4C"/>
          <w:sz w:val="24"/>
          <w:szCs w:val="24"/>
        </w:rPr>
        <w:t>DOI:</w:t>
      </w:r>
    </w:p>
    <w:p w:rsidR="00D0008B" w:rsidRPr="007F6E81" w:rsidRDefault="007F6E81" w:rsidP="007F6E81">
      <w:pPr>
        <w:jc w:val="both"/>
        <w:rPr>
          <w:color w:val="2E74B5" w:themeColor="accent1" w:themeShade="BF"/>
        </w:rPr>
      </w:pPr>
      <w:hyperlink r:id="rId4" w:history="1">
        <w:r w:rsidRPr="007F6E81">
          <w:rPr>
            <w:rStyle w:val="Hyperlink"/>
            <w:rFonts w:ascii="Times New Roman" w:hAnsi="Times New Roman" w:cs="Times New Roman"/>
            <w:color w:val="2E74B5" w:themeColor="accent1" w:themeShade="BF"/>
            <w:sz w:val="24"/>
            <w:szCs w:val="24"/>
            <w:u w:val="none"/>
            <w:shd w:val="clear" w:color="auto" w:fill="FFFFFF"/>
          </w:rPr>
          <w:t>http://doi.org/10.11591/ijece.v11i5.pp4202-4213</w:t>
        </w:r>
      </w:hyperlink>
    </w:p>
    <w:sectPr w:rsidR="00D0008B" w:rsidRPr="007F6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B297C"/>
    <w:rsid w:val="006F2FC2"/>
    <w:rsid w:val="0071519C"/>
    <w:rsid w:val="00750640"/>
    <w:rsid w:val="007F6E81"/>
    <w:rsid w:val="0081115D"/>
    <w:rsid w:val="00812485"/>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7F6E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775638">
      <w:bodyDiv w:val="1"/>
      <w:marLeft w:val="0"/>
      <w:marRight w:val="0"/>
      <w:marTop w:val="0"/>
      <w:marBottom w:val="0"/>
      <w:divBdr>
        <w:top w:val="none" w:sz="0" w:space="0" w:color="auto"/>
        <w:left w:val="none" w:sz="0" w:space="0" w:color="auto"/>
        <w:bottom w:val="none" w:sz="0" w:space="0" w:color="auto"/>
        <w:right w:val="none" w:sz="0" w:space="0" w:color="auto"/>
      </w:divBdr>
      <w:divsChild>
        <w:div w:id="1803109991">
          <w:marLeft w:val="0"/>
          <w:marRight w:val="0"/>
          <w:marTop w:val="0"/>
          <w:marBottom w:val="0"/>
          <w:divBdr>
            <w:top w:val="none" w:sz="0" w:space="0" w:color="auto"/>
            <w:left w:val="none" w:sz="0" w:space="0" w:color="auto"/>
            <w:bottom w:val="none" w:sz="0" w:space="0" w:color="auto"/>
            <w:right w:val="none" w:sz="0" w:space="0" w:color="auto"/>
          </w:divBdr>
        </w:div>
      </w:divsChild>
    </w:div>
    <w:div w:id="20102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ce.v11i5.pp4202-4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2022-03-20T03:52:00Z</dcterms:created>
  <dcterms:modified xsi:type="dcterms:W3CDTF">2022-03-21T05:47:00Z</dcterms:modified>
</cp:coreProperties>
</file>