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C84DAD" w:rsidRDefault="00C84DAD" w:rsidP="00C84DAD">
      <w:pPr>
        <w:spacing w:before="150" w:after="150" w:line="240" w:lineRule="auto"/>
        <w:rPr>
          <w:rFonts w:ascii="Times New Roman" w:eastAsia="Times New Roman" w:hAnsi="Times New Roman" w:cs="Times New Roman"/>
          <w:color w:val="4C4C4C"/>
          <w:sz w:val="40"/>
          <w:szCs w:val="40"/>
        </w:rPr>
      </w:pPr>
      <w:r w:rsidRPr="00C84DAD">
        <w:rPr>
          <w:rFonts w:ascii="Times New Roman" w:eastAsia="Times New Roman" w:hAnsi="Times New Roman" w:cs="Times New Roman"/>
          <w:color w:val="4C4C4C"/>
          <w:sz w:val="40"/>
          <w:szCs w:val="40"/>
        </w:rPr>
        <w:t>Thermal Instability Analysis for Natural Convective Heat Transport within</w:t>
      </w:r>
      <w:r w:rsidR="00A23662">
        <w:rPr>
          <w:rFonts w:ascii="Times New Roman" w:eastAsia="Times New Roman" w:hAnsi="Times New Roman" w:cs="Times New Roman"/>
          <w:color w:val="4C4C4C"/>
          <w:sz w:val="40"/>
          <w:szCs w:val="40"/>
        </w:rPr>
        <w:t xml:space="preserve"> a Horizontal Layer Filled w</w:t>
      </w:r>
      <w:r w:rsidRPr="00C84DAD">
        <w:rPr>
          <w:rFonts w:ascii="Times New Roman" w:eastAsia="Times New Roman" w:hAnsi="Times New Roman" w:cs="Times New Roman"/>
          <w:color w:val="4C4C4C"/>
          <w:sz w:val="40"/>
          <w:szCs w:val="40"/>
        </w:rPr>
        <w:t>ith Nanoparticles Usi</w:t>
      </w:r>
      <w:bookmarkStart w:id="0" w:name="_GoBack"/>
      <w:bookmarkEnd w:id="0"/>
      <w:r w:rsidRPr="00C84DAD">
        <w:rPr>
          <w:rFonts w:ascii="Times New Roman" w:eastAsia="Times New Roman" w:hAnsi="Times New Roman" w:cs="Times New Roman"/>
          <w:color w:val="4C4C4C"/>
          <w:sz w:val="40"/>
          <w:szCs w:val="40"/>
        </w:rPr>
        <w:t>ng Non-homogeneous Dynamic Model</w:t>
      </w:r>
    </w:p>
    <w:p w:rsidR="00C84DAD" w:rsidRDefault="00C84DAD" w:rsidP="00C84DAD">
      <w:pPr>
        <w:rPr>
          <w:color w:val="2E74B5" w:themeColor="accent1" w:themeShade="BF"/>
        </w:rPr>
      </w:pPr>
    </w:p>
    <w:p w:rsidR="006A2CB9" w:rsidRPr="00EA2B76" w:rsidRDefault="00C84DAD" w:rsidP="00EA2B76">
      <w:pPr>
        <w:jc w:val="both"/>
        <w:rPr>
          <w:rFonts w:ascii="Times New Roman" w:hAnsi="Times New Roman" w:cs="Times New Roman"/>
          <w:color w:val="2E74B5" w:themeColor="accent1" w:themeShade="BF"/>
          <w:sz w:val="24"/>
          <w:szCs w:val="24"/>
        </w:rPr>
      </w:pPr>
      <w:hyperlink r:id="rId4" w:anchor="auth-M__J_-Uddin" w:history="1">
        <w:r w:rsidRPr="00EA2B76">
          <w:rPr>
            <w:rStyle w:val="Hyperlink"/>
            <w:rFonts w:ascii="Times New Roman" w:hAnsi="Times New Roman" w:cs="Times New Roman"/>
            <w:color w:val="2E74B5" w:themeColor="accent1" w:themeShade="BF"/>
            <w:sz w:val="24"/>
            <w:szCs w:val="24"/>
            <w:u w:val="none"/>
          </w:rPr>
          <w:t>M. J. Uddin</w:t>
        </w:r>
      </w:hyperlink>
      <w:r w:rsidRPr="00EA2B76">
        <w:rPr>
          <w:rFonts w:ascii="Times New Roman" w:hAnsi="Times New Roman" w:cs="Times New Roman"/>
          <w:color w:val="2E74B5" w:themeColor="accent1" w:themeShade="BF"/>
          <w:sz w:val="24"/>
          <w:szCs w:val="24"/>
        </w:rPr>
        <w:t xml:space="preserve">, </w:t>
      </w:r>
      <w:hyperlink r:id="rId5" w:anchor="auth-M__M_-Rahman" w:history="1">
        <w:r w:rsidRPr="00EA2B76">
          <w:rPr>
            <w:rStyle w:val="Hyperlink"/>
            <w:rFonts w:ascii="Times New Roman" w:hAnsi="Times New Roman" w:cs="Times New Roman"/>
            <w:color w:val="2E74B5" w:themeColor="accent1" w:themeShade="BF"/>
            <w:sz w:val="24"/>
            <w:szCs w:val="24"/>
            <w:u w:val="none"/>
          </w:rPr>
          <w:t>M. M. Rahman</w:t>
        </w:r>
      </w:hyperlink>
    </w:p>
    <w:p w:rsidR="00C84DAD" w:rsidRPr="00EA2B76" w:rsidRDefault="00C84DAD" w:rsidP="00EA2B76">
      <w:pPr>
        <w:spacing w:before="150" w:after="150" w:line="240" w:lineRule="auto"/>
        <w:jc w:val="both"/>
        <w:rPr>
          <w:rFonts w:ascii="Times New Roman" w:eastAsia="Times New Roman" w:hAnsi="Times New Roman" w:cs="Times New Roman"/>
          <w:b/>
          <w:color w:val="4C4C4C"/>
          <w:sz w:val="24"/>
          <w:szCs w:val="24"/>
        </w:rPr>
      </w:pPr>
    </w:p>
    <w:p w:rsidR="00C84DAD" w:rsidRPr="00EA2B76" w:rsidRDefault="001C5DE9" w:rsidP="00EA2B76">
      <w:pPr>
        <w:spacing w:before="150" w:after="150" w:line="240" w:lineRule="auto"/>
        <w:jc w:val="both"/>
        <w:rPr>
          <w:rFonts w:ascii="Times New Roman" w:eastAsia="Times New Roman" w:hAnsi="Times New Roman" w:cs="Times New Roman"/>
          <w:b/>
          <w:color w:val="4C4C4C"/>
          <w:sz w:val="24"/>
          <w:szCs w:val="24"/>
        </w:rPr>
      </w:pPr>
      <w:r w:rsidRPr="00EA2B76">
        <w:rPr>
          <w:rFonts w:ascii="Times New Roman" w:eastAsia="Times New Roman" w:hAnsi="Times New Roman" w:cs="Times New Roman"/>
          <w:b/>
          <w:color w:val="4C4C4C"/>
          <w:sz w:val="24"/>
          <w:szCs w:val="24"/>
        </w:rPr>
        <w:t>Abstract:</w:t>
      </w:r>
    </w:p>
    <w:p w:rsidR="00C84DAD" w:rsidRPr="00EA2B76" w:rsidRDefault="00C84DAD" w:rsidP="00EA2B76">
      <w:pPr>
        <w:spacing w:before="150" w:after="150" w:line="240" w:lineRule="auto"/>
        <w:jc w:val="both"/>
        <w:rPr>
          <w:rFonts w:ascii="Times New Roman" w:eastAsia="Times New Roman" w:hAnsi="Times New Roman" w:cs="Times New Roman"/>
          <w:b/>
          <w:color w:val="4C4C4C"/>
          <w:sz w:val="24"/>
          <w:szCs w:val="24"/>
        </w:rPr>
      </w:pPr>
      <w:r w:rsidRPr="00C84DAD">
        <w:rPr>
          <w:rFonts w:ascii="Times New Roman" w:eastAsia="Times New Roman" w:hAnsi="Times New Roman" w:cs="Times New Roman"/>
          <w:color w:val="4C4C4C"/>
          <w:sz w:val="24"/>
          <w:szCs w:val="24"/>
        </w:rPr>
        <w:t xml:space="preserve">This paper presents a thermal instability analysis for the natural convective heat transport within a horizontal layer filled with nanoparticles using non-homogeneous dynamic model, which is performed analytically and numerically. For the linear stability analysis, both the oscillatory and non-oscillatory convection for free-free boundaries is investigated. The normal mode procedure is used for the linear stability analysis, whereas the curtailed Fourier series, comprising only two terms, is applied for the nonlinear stability analysis. The neutral and oscillatory stability boundaries for the heat transfer and onset of convection throughout the </w:t>
      </w:r>
      <w:proofErr w:type="gramStart"/>
      <w:r w:rsidRPr="00EA2B76">
        <w:rPr>
          <w:rFonts w:ascii="Times New Roman" w:eastAsia="Times New Roman" w:hAnsi="Times New Roman" w:cs="Times New Roman"/>
          <w:color w:val="4C4C4C"/>
          <w:sz w:val="24"/>
          <w:szCs w:val="24"/>
        </w:rPr>
        <w:t>nan</w:t>
      </w:r>
      <w:proofErr w:type="gramEnd"/>
      <w:r w:rsidRPr="00EA2B76">
        <w:rPr>
          <w:rFonts w:ascii="Times New Roman" w:eastAsia="Times New Roman" w:hAnsi="Times New Roman" w:cs="Times New Roman"/>
          <w:color w:val="4C4C4C"/>
          <w:sz w:val="24"/>
          <w:szCs w:val="24"/>
        </w:rPr>
        <w:t xml:space="preserve"> fluid</w:t>
      </w:r>
      <w:r w:rsidRPr="00C84DAD">
        <w:rPr>
          <w:rFonts w:ascii="Times New Roman" w:eastAsia="Times New Roman" w:hAnsi="Times New Roman" w:cs="Times New Roman"/>
          <w:color w:val="4C4C4C"/>
          <w:sz w:val="24"/>
          <w:szCs w:val="24"/>
        </w:rPr>
        <w:t xml:space="preserve"> layer over periods of time are obtained numerically. It is found that the critical conditions of stability depend on the influence of the thermophoresis and Brownian motion on the thermal energy and concentration equations, as well as the </w:t>
      </w:r>
      <w:r w:rsidRPr="00EA2B76">
        <w:rPr>
          <w:rFonts w:ascii="Times New Roman" w:eastAsia="Times New Roman" w:hAnsi="Times New Roman" w:cs="Times New Roman"/>
          <w:color w:val="4C4C4C"/>
          <w:sz w:val="24"/>
          <w:szCs w:val="24"/>
        </w:rPr>
        <w:t>Nan fluids</w:t>
      </w:r>
      <w:r w:rsidRPr="00C84DAD">
        <w:rPr>
          <w:rFonts w:ascii="Times New Roman" w:eastAsia="Times New Roman" w:hAnsi="Times New Roman" w:cs="Times New Roman"/>
          <w:color w:val="4C4C4C"/>
          <w:sz w:val="24"/>
          <w:szCs w:val="24"/>
        </w:rPr>
        <w:t xml:space="preserve"> </w:t>
      </w:r>
      <w:r w:rsidRPr="00EA2B76">
        <w:rPr>
          <w:rFonts w:ascii="Times New Roman" w:eastAsia="Times New Roman" w:hAnsi="Times New Roman" w:cs="Times New Roman"/>
          <w:color w:val="4C4C4C"/>
          <w:sz w:val="24"/>
          <w:szCs w:val="24"/>
        </w:rPr>
        <w:t>thermo physical</w:t>
      </w:r>
      <w:r w:rsidRPr="00C84DAD">
        <w:rPr>
          <w:rFonts w:ascii="Times New Roman" w:eastAsia="Times New Roman" w:hAnsi="Times New Roman" w:cs="Times New Roman"/>
          <w:color w:val="4C4C4C"/>
          <w:sz w:val="24"/>
          <w:szCs w:val="24"/>
        </w:rPr>
        <w:t xml:space="preserve"> properties. It is also found that the system is eventually stable for increasing values of the thermal Rayleigh number and the solutal Rayleigh number. The higher wave number helps the system to remain stable. Adding nanoparticles to the base fluid enlarges the stable region of the system. The heat transfer of the system is initially unstable for a small period of time, and then it becomes stable for the rest of the time.</w:t>
      </w:r>
    </w:p>
    <w:p w:rsidR="001C5DE9" w:rsidRPr="00EA2B76" w:rsidRDefault="001C5DE9" w:rsidP="00EA2B76">
      <w:pPr>
        <w:spacing w:before="150" w:after="150" w:line="240" w:lineRule="auto"/>
        <w:jc w:val="both"/>
        <w:rPr>
          <w:rFonts w:ascii="Times New Roman" w:hAnsi="Times New Roman" w:cs="Times New Roman"/>
          <w:b/>
          <w:bCs/>
          <w:color w:val="4C4C4C"/>
          <w:sz w:val="24"/>
          <w:szCs w:val="24"/>
          <w:shd w:val="clear" w:color="auto" w:fill="FFFFFF"/>
        </w:rPr>
      </w:pPr>
    </w:p>
    <w:p w:rsidR="001C5DE9" w:rsidRPr="00EA2B76" w:rsidRDefault="001C5DE9" w:rsidP="00EA2B76">
      <w:pPr>
        <w:spacing w:before="150" w:after="150" w:line="240" w:lineRule="auto"/>
        <w:jc w:val="both"/>
        <w:rPr>
          <w:rFonts w:ascii="Times New Roman" w:hAnsi="Times New Roman" w:cs="Times New Roman"/>
          <w:b/>
          <w:bCs/>
          <w:color w:val="4C4C4C"/>
          <w:sz w:val="24"/>
          <w:szCs w:val="24"/>
          <w:shd w:val="clear" w:color="auto" w:fill="FFFFFF"/>
        </w:rPr>
      </w:pPr>
      <w:r w:rsidRPr="00EA2B76">
        <w:rPr>
          <w:rFonts w:ascii="Times New Roman" w:hAnsi="Times New Roman" w:cs="Times New Roman"/>
          <w:b/>
          <w:bCs/>
          <w:color w:val="4C4C4C"/>
          <w:sz w:val="24"/>
          <w:szCs w:val="24"/>
          <w:shd w:val="clear" w:color="auto" w:fill="FFFFFF"/>
        </w:rPr>
        <w:t>Conference / Journal Link:</w:t>
      </w:r>
    </w:p>
    <w:p w:rsidR="00C84DAD" w:rsidRPr="00EA2B76" w:rsidRDefault="00C84DAD" w:rsidP="00EA2B76">
      <w:pPr>
        <w:spacing w:before="150"/>
        <w:jc w:val="both"/>
        <w:rPr>
          <w:rFonts w:ascii="Times New Roman" w:hAnsi="Times New Roman" w:cs="Times New Roman"/>
          <w:color w:val="4C4C4C"/>
          <w:sz w:val="24"/>
          <w:szCs w:val="24"/>
        </w:rPr>
      </w:pPr>
      <w:hyperlink r:id="rId6" w:history="1">
        <w:r w:rsidRPr="00EA2B76">
          <w:rPr>
            <w:rStyle w:val="Hyperlink"/>
            <w:rFonts w:ascii="Times New Roman" w:hAnsi="Times New Roman" w:cs="Times New Roman"/>
            <w:sz w:val="24"/>
            <w:szCs w:val="24"/>
            <w:u w:val="none"/>
          </w:rPr>
          <w:t>https://link.springer.com/article/10.1134/S1810232821030115</w:t>
        </w:r>
      </w:hyperlink>
    </w:p>
    <w:p w:rsidR="00C84DAD" w:rsidRPr="00EA2B76" w:rsidRDefault="00C84DAD" w:rsidP="00EA2B76">
      <w:pPr>
        <w:spacing w:before="150" w:after="150" w:line="240" w:lineRule="auto"/>
        <w:jc w:val="both"/>
        <w:rPr>
          <w:rFonts w:ascii="Times New Roman" w:hAnsi="Times New Roman" w:cs="Times New Roman"/>
          <w:b/>
          <w:bCs/>
          <w:color w:val="4C4C4C"/>
          <w:sz w:val="24"/>
          <w:szCs w:val="24"/>
          <w:shd w:val="clear" w:color="auto" w:fill="FFFFFF"/>
        </w:rPr>
      </w:pPr>
    </w:p>
    <w:p w:rsidR="001C5DE9" w:rsidRPr="00EA2B76" w:rsidRDefault="001C5DE9" w:rsidP="00EA2B76">
      <w:pPr>
        <w:spacing w:before="150"/>
        <w:jc w:val="both"/>
        <w:rPr>
          <w:rFonts w:ascii="Times New Roman" w:hAnsi="Times New Roman" w:cs="Times New Roman"/>
          <w:b/>
          <w:color w:val="4C4C4C"/>
          <w:sz w:val="24"/>
          <w:szCs w:val="24"/>
        </w:rPr>
      </w:pPr>
      <w:r w:rsidRPr="00EA2B76">
        <w:rPr>
          <w:rFonts w:ascii="Times New Roman" w:hAnsi="Times New Roman" w:cs="Times New Roman"/>
          <w:b/>
          <w:color w:val="4C4C4C"/>
          <w:sz w:val="24"/>
          <w:szCs w:val="24"/>
        </w:rPr>
        <w:t>DOI:</w:t>
      </w:r>
    </w:p>
    <w:p w:rsidR="00D0008B" w:rsidRPr="00EA2B76" w:rsidRDefault="00C84DAD" w:rsidP="00EA2B76">
      <w:pPr>
        <w:jc w:val="both"/>
        <w:rPr>
          <w:rFonts w:ascii="Times New Roman" w:hAnsi="Times New Roman" w:cs="Times New Roman"/>
          <w:color w:val="2E74B5" w:themeColor="accent1" w:themeShade="BF"/>
          <w:sz w:val="24"/>
          <w:szCs w:val="24"/>
        </w:rPr>
      </w:pPr>
      <w:r w:rsidRPr="00EA2B76">
        <w:rPr>
          <w:rFonts w:ascii="Times New Roman" w:hAnsi="Times New Roman" w:cs="Times New Roman"/>
          <w:color w:val="2E74B5" w:themeColor="accent1" w:themeShade="BF"/>
          <w:sz w:val="24"/>
          <w:szCs w:val="24"/>
          <w:shd w:val="clear" w:color="auto" w:fill="FCFCFC"/>
        </w:rPr>
        <w:t>https://doi.org/10.1134/S1810232821030115</w:t>
      </w:r>
    </w:p>
    <w:sectPr w:rsidR="00D0008B" w:rsidRPr="00EA2B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4183F"/>
    <w:rsid w:val="00982A47"/>
    <w:rsid w:val="0099662C"/>
    <w:rsid w:val="009A7A13"/>
    <w:rsid w:val="009B3127"/>
    <w:rsid w:val="009C5F7B"/>
    <w:rsid w:val="009E0C23"/>
    <w:rsid w:val="009E22F9"/>
    <w:rsid w:val="00A23662"/>
    <w:rsid w:val="00A67C2C"/>
    <w:rsid w:val="00AA75A4"/>
    <w:rsid w:val="00B86303"/>
    <w:rsid w:val="00B930C5"/>
    <w:rsid w:val="00BB33BF"/>
    <w:rsid w:val="00BD4B8D"/>
    <w:rsid w:val="00BE3412"/>
    <w:rsid w:val="00C02829"/>
    <w:rsid w:val="00C44F43"/>
    <w:rsid w:val="00C84DAD"/>
    <w:rsid w:val="00CA08FE"/>
    <w:rsid w:val="00CD2380"/>
    <w:rsid w:val="00CF649C"/>
    <w:rsid w:val="00D0008B"/>
    <w:rsid w:val="00D30C97"/>
    <w:rsid w:val="00D46E89"/>
    <w:rsid w:val="00E20B35"/>
    <w:rsid w:val="00E32B53"/>
    <w:rsid w:val="00E403A9"/>
    <w:rsid w:val="00E71465"/>
    <w:rsid w:val="00EA2B76"/>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C84D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119677">
      <w:bodyDiv w:val="1"/>
      <w:marLeft w:val="0"/>
      <w:marRight w:val="0"/>
      <w:marTop w:val="0"/>
      <w:marBottom w:val="0"/>
      <w:divBdr>
        <w:top w:val="none" w:sz="0" w:space="0" w:color="auto"/>
        <w:left w:val="none" w:sz="0" w:space="0" w:color="auto"/>
        <w:bottom w:val="none" w:sz="0" w:space="0" w:color="auto"/>
        <w:right w:val="none" w:sz="0" w:space="0" w:color="auto"/>
      </w:divBdr>
      <w:divsChild>
        <w:div w:id="2110613799">
          <w:marLeft w:val="0"/>
          <w:marRight w:val="0"/>
          <w:marTop w:val="0"/>
          <w:marBottom w:val="75"/>
          <w:divBdr>
            <w:top w:val="none" w:sz="0" w:space="0" w:color="auto"/>
            <w:left w:val="none" w:sz="0" w:space="0" w:color="auto"/>
            <w:bottom w:val="none" w:sz="0" w:space="0" w:color="auto"/>
            <w:right w:val="none" w:sz="0" w:space="0" w:color="auto"/>
          </w:divBdr>
          <w:divsChild>
            <w:div w:id="1441338973">
              <w:marLeft w:val="0"/>
              <w:marRight w:val="0"/>
              <w:marTop w:val="0"/>
              <w:marBottom w:val="0"/>
              <w:divBdr>
                <w:top w:val="none" w:sz="0" w:space="0" w:color="auto"/>
                <w:left w:val="none" w:sz="0" w:space="0" w:color="auto"/>
                <w:bottom w:val="none" w:sz="0" w:space="0" w:color="auto"/>
                <w:right w:val="none" w:sz="0" w:space="0" w:color="auto"/>
              </w:divBdr>
              <w:divsChild>
                <w:div w:id="481699899">
                  <w:marLeft w:val="0"/>
                  <w:marRight w:val="0"/>
                  <w:marTop w:val="0"/>
                  <w:marBottom w:val="0"/>
                  <w:divBdr>
                    <w:top w:val="none" w:sz="0" w:space="0" w:color="auto"/>
                    <w:left w:val="none" w:sz="0" w:space="0" w:color="auto"/>
                    <w:bottom w:val="none" w:sz="0" w:space="0" w:color="auto"/>
                    <w:right w:val="none" w:sz="0" w:space="0" w:color="auto"/>
                  </w:divBdr>
                </w:div>
                <w:div w:id="909464767">
                  <w:marLeft w:val="0"/>
                  <w:marRight w:val="0"/>
                  <w:marTop w:val="0"/>
                  <w:marBottom w:val="0"/>
                  <w:divBdr>
                    <w:top w:val="none" w:sz="0" w:space="0" w:color="auto"/>
                    <w:left w:val="none" w:sz="0" w:space="0" w:color="auto"/>
                    <w:bottom w:val="none" w:sz="0" w:space="0" w:color="auto"/>
                    <w:right w:val="none" w:sz="0" w:space="0" w:color="auto"/>
                  </w:divBdr>
                  <w:divsChild>
                    <w:div w:id="181325229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918514025">
      <w:bodyDiv w:val="1"/>
      <w:marLeft w:val="0"/>
      <w:marRight w:val="0"/>
      <w:marTop w:val="0"/>
      <w:marBottom w:val="0"/>
      <w:divBdr>
        <w:top w:val="none" w:sz="0" w:space="0" w:color="auto"/>
        <w:left w:val="none" w:sz="0" w:space="0" w:color="auto"/>
        <w:bottom w:val="none" w:sz="0" w:space="0" w:color="auto"/>
        <w:right w:val="none" w:sz="0" w:space="0" w:color="auto"/>
      </w:divBdr>
    </w:div>
    <w:div w:id="195520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134/S1810232821030115" TargetMode="External"/><Relationship Id="rId5" Type="http://schemas.openxmlformats.org/officeDocument/2006/relationships/hyperlink" Target="https://link.springer.com/article/10.1134/S1810232821030115" TargetMode="External"/><Relationship Id="rId4" Type="http://schemas.openxmlformats.org/officeDocument/2006/relationships/hyperlink" Target="https://link.springer.com/article/10.1134/S1810232821030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2022-04-02T04:48:00Z</dcterms:created>
  <dcterms:modified xsi:type="dcterms:W3CDTF">2022-04-02T05:00:00Z</dcterms:modified>
</cp:coreProperties>
</file>