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2CB9" w:rsidRPr="00F978AB" w:rsidRDefault="00F978AB" w:rsidP="00F978AB">
      <w:pPr>
        <w:spacing w:before="150" w:after="150" w:line="240" w:lineRule="auto"/>
        <w:rPr>
          <w:rFonts w:ascii="Times New Roman" w:eastAsia="Times New Roman" w:hAnsi="Times New Roman" w:cs="Times New Roman"/>
          <w:color w:val="4C4C4C"/>
          <w:sz w:val="40"/>
          <w:szCs w:val="40"/>
        </w:rPr>
      </w:pPr>
      <w:r w:rsidRPr="00F978AB">
        <w:rPr>
          <w:rFonts w:ascii="Times New Roman" w:eastAsia="Times New Roman" w:hAnsi="Times New Roman" w:cs="Times New Roman"/>
          <w:color w:val="4C4C4C"/>
          <w:sz w:val="40"/>
          <w:szCs w:val="40"/>
        </w:rPr>
        <w:t xml:space="preserve">Hybrid Price and Stock Dependent Inventory Model for Perishable Goods with Advance Payment Related Discount Facilities </w:t>
      </w:r>
      <w:r w:rsidR="002D4EE2" w:rsidRPr="00F978AB">
        <w:rPr>
          <w:rFonts w:ascii="Times New Roman" w:eastAsia="Times New Roman" w:hAnsi="Times New Roman" w:cs="Times New Roman"/>
          <w:color w:val="4C4C4C"/>
          <w:sz w:val="40"/>
          <w:szCs w:val="40"/>
        </w:rPr>
        <w:t>under</w:t>
      </w:r>
      <w:r w:rsidRPr="00F978AB">
        <w:rPr>
          <w:rFonts w:ascii="Times New Roman" w:eastAsia="Times New Roman" w:hAnsi="Times New Roman" w:cs="Times New Roman"/>
          <w:color w:val="4C4C4C"/>
          <w:sz w:val="40"/>
          <w:szCs w:val="40"/>
        </w:rPr>
        <w:t xml:space="preserve"> Preservation Technology</w:t>
      </w:r>
    </w:p>
    <w:p w:rsidR="001E3C80" w:rsidRDefault="001E3C80" w:rsidP="001E3C80">
      <w:pPr>
        <w:spacing w:before="150" w:after="150" w:line="240" w:lineRule="auto"/>
        <w:rPr>
          <w:color w:val="2E74B5" w:themeColor="accent1" w:themeShade="BF"/>
        </w:rPr>
      </w:pPr>
      <w:bookmarkStart w:id="0" w:name="bau005"/>
    </w:p>
    <w:p w:rsidR="001E3C80" w:rsidRPr="001E3C80" w:rsidRDefault="001E3C80" w:rsidP="001E3C80">
      <w:pPr>
        <w:spacing w:before="150" w:after="150" w:line="240" w:lineRule="auto"/>
        <w:jc w:val="both"/>
        <w:rPr>
          <w:rFonts w:ascii="Times New Roman" w:eastAsia="Times New Roman" w:hAnsi="Times New Roman" w:cs="Times New Roman"/>
          <w:b/>
          <w:color w:val="2E74B5" w:themeColor="accent1" w:themeShade="BF"/>
          <w:sz w:val="24"/>
          <w:szCs w:val="24"/>
        </w:rPr>
      </w:pPr>
      <w:hyperlink r:id="rId4" w:anchor="!" w:history="1">
        <w:r w:rsidRPr="001E3C80">
          <w:rPr>
            <w:rStyle w:val="text"/>
            <w:rFonts w:ascii="Times New Roman" w:hAnsi="Times New Roman" w:cs="Times New Roman"/>
            <w:color w:val="2E74B5" w:themeColor="accent1" w:themeShade="BF"/>
            <w:sz w:val="24"/>
            <w:szCs w:val="24"/>
          </w:rPr>
          <w:t>Md</w:t>
        </w:r>
        <w:r w:rsidRPr="001E3C80">
          <w:rPr>
            <w:rStyle w:val="text"/>
            <w:rFonts w:ascii="Times New Roman" w:hAnsi="Times New Roman" w:cs="Times New Roman"/>
            <w:color w:val="2E74B5" w:themeColor="accent1" w:themeShade="BF"/>
            <w:sz w:val="24"/>
            <w:szCs w:val="24"/>
          </w:rPr>
          <w:t xml:space="preserve"> </w:t>
        </w:r>
        <w:r w:rsidRPr="001E3C80">
          <w:rPr>
            <w:rStyle w:val="text"/>
            <w:rFonts w:ascii="Times New Roman" w:hAnsi="Times New Roman" w:cs="Times New Roman"/>
            <w:color w:val="2E74B5" w:themeColor="accent1" w:themeShade="BF"/>
            <w:sz w:val="24"/>
            <w:szCs w:val="24"/>
          </w:rPr>
          <w:t>Sadikur Rahman</w:t>
        </w:r>
        <w:r w:rsidRPr="001E3C80">
          <w:rPr>
            <w:rStyle w:val="text"/>
            <w:rFonts w:ascii="Times New Roman" w:hAnsi="Times New Roman" w:cs="Times New Roman"/>
            <w:color w:val="2E74B5" w:themeColor="accent1" w:themeShade="BF"/>
            <w:sz w:val="24"/>
            <w:szCs w:val="24"/>
          </w:rPr>
          <w:t>,</w:t>
        </w:r>
      </w:hyperlink>
      <w:bookmarkStart w:id="1" w:name="bau010"/>
      <w:bookmarkEnd w:id="0"/>
      <w:r w:rsidRPr="001E3C80">
        <w:rPr>
          <w:rFonts w:ascii="Times New Roman" w:hAnsi="Times New Roman" w:cs="Times New Roman"/>
          <w:color w:val="2E74B5" w:themeColor="accent1" w:themeShade="BF"/>
          <w:sz w:val="24"/>
          <w:szCs w:val="24"/>
        </w:rPr>
        <w:t xml:space="preserve"> </w:t>
      </w:r>
      <w:hyperlink r:id="rId5" w:anchor="!" w:history="1">
        <w:r w:rsidRPr="001E3C80">
          <w:rPr>
            <w:rStyle w:val="text"/>
            <w:rFonts w:ascii="Times New Roman" w:hAnsi="Times New Roman" w:cs="Times New Roman"/>
            <w:color w:val="2E74B5" w:themeColor="accent1" w:themeShade="BF"/>
            <w:sz w:val="24"/>
            <w:szCs w:val="24"/>
          </w:rPr>
          <w:t>Md.Al-Amin Khan</w:t>
        </w:r>
        <w:r w:rsidRPr="001E3C80">
          <w:rPr>
            <w:rStyle w:val="text"/>
            <w:rFonts w:ascii="Times New Roman" w:hAnsi="Times New Roman" w:cs="Times New Roman"/>
            <w:color w:val="2E74B5" w:themeColor="accent1" w:themeShade="BF"/>
            <w:sz w:val="24"/>
            <w:szCs w:val="24"/>
          </w:rPr>
          <w:t xml:space="preserve">, </w:t>
        </w:r>
      </w:hyperlink>
      <w:bookmarkStart w:id="2" w:name="bau015"/>
      <w:bookmarkEnd w:id="1"/>
      <w:r w:rsidRPr="001E3C80">
        <w:rPr>
          <w:rFonts w:ascii="Times New Roman" w:hAnsi="Times New Roman" w:cs="Times New Roman"/>
          <w:color w:val="2E74B5" w:themeColor="accent1" w:themeShade="BF"/>
          <w:sz w:val="24"/>
          <w:szCs w:val="24"/>
        </w:rPr>
        <w:fldChar w:fldCharType="begin"/>
      </w:r>
      <w:r w:rsidRPr="001E3C80">
        <w:rPr>
          <w:rFonts w:ascii="Times New Roman" w:hAnsi="Times New Roman" w:cs="Times New Roman"/>
          <w:color w:val="2E74B5" w:themeColor="accent1" w:themeShade="BF"/>
          <w:sz w:val="24"/>
          <w:szCs w:val="24"/>
        </w:rPr>
        <w:instrText xml:space="preserve"> HYPERLINK "https://www.sciencedirect.com/science/article/pii/S1110016821000491" \l "!" </w:instrText>
      </w:r>
      <w:r w:rsidRPr="001E3C80">
        <w:rPr>
          <w:rFonts w:ascii="Times New Roman" w:hAnsi="Times New Roman" w:cs="Times New Roman"/>
          <w:color w:val="2E74B5" w:themeColor="accent1" w:themeShade="BF"/>
          <w:sz w:val="24"/>
          <w:szCs w:val="24"/>
        </w:rPr>
        <w:fldChar w:fldCharType="separate"/>
      </w:r>
      <w:r w:rsidRPr="001E3C80">
        <w:rPr>
          <w:rStyle w:val="text"/>
          <w:rFonts w:ascii="Times New Roman" w:hAnsi="Times New Roman" w:cs="Times New Roman"/>
          <w:color w:val="2E74B5" w:themeColor="accent1" w:themeShade="BF"/>
          <w:sz w:val="24"/>
          <w:szCs w:val="24"/>
        </w:rPr>
        <w:t>Mohammad</w:t>
      </w:r>
      <w:r w:rsidRPr="001E3C80">
        <w:rPr>
          <w:rStyle w:val="text"/>
          <w:rFonts w:ascii="Times New Roman" w:hAnsi="Times New Roman" w:cs="Times New Roman"/>
          <w:color w:val="2E74B5" w:themeColor="accent1" w:themeShade="BF"/>
          <w:sz w:val="24"/>
          <w:szCs w:val="24"/>
        </w:rPr>
        <w:t xml:space="preserve"> </w:t>
      </w:r>
      <w:r w:rsidRPr="001E3C80">
        <w:rPr>
          <w:rStyle w:val="text"/>
          <w:rFonts w:ascii="Times New Roman" w:hAnsi="Times New Roman" w:cs="Times New Roman"/>
          <w:color w:val="2E74B5" w:themeColor="accent1" w:themeShade="BF"/>
          <w:sz w:val="24"/>
          <w:szCs w:val="24"/>
        </w:rPr>
        <w:t>Abdul Halim</w:t>
      </w:r>
      <w:r w:rsidRPr="001E3C80">
        <w:rPr>
          <w:rStyle w:val="text"/>
          <w:rFonts w:ascii="Times New Roman" w:hAnsi="Times New Roman" w:cs="Times New Roman"/>
          <w:color w:val="2E74B5" w:themeColor="accent1" w:themeShade="BF"/>
          <w:sz w:val="24"/>
          <w:szCs w:val="24"/>
        </w:rPr>
        <w:t>,</w:t>
      </w:r>
      <w:r w:rsidRPr="001E3C80">
        <w:rPr>
          <w:rFonts w:ascii="Times New Roman" w:hAnsi="Times New Roman" w:cs="Times New Roman"/>
          <w:color w:val="2E74B5" w:themeColor="accent1" w:themeShade="BF"/>
          <w:sz w:val="24"/>
          <w:szCs w:val="24"/>
        </w:rPr>
        <w:fldChar w:fldCharType="end"/>
      </w:r>
      <w:bookmarkStart w:id="3" w:name="bau020"/>
      <w:bookmarkEnd w:id="2"/>
      <w:r w:rsidRPr="001E3C80">
        <w:rPr>
          <w:rFonts w:ascii="Times New Roman" w:hAnsi="Times New Roman" w:cs="Times New Roman"/>
          <w:color w:val="2E74B5" w:themeColor="accent1" w:themeShade="BF"/>
          <w:sz w:val="24"/>
          <w:szCs w:val="24"/>
        </w:rPr>
        <w:t xml:space="preserve"> </w:t>
      </w:r>
      <w:hyperlink r:id="rId6" w:anchor="!" w:history="1">
        <w:r w:rsidRPr="001E3C80">
          <w:rPr>
            <w:rStyle w:val="text"/>
            <w:rFonts w:ascii="Times New Roman" w:hAnsi="Times New Roman" w:cs="Times New Roman"/>
            <w:color w:val="2E74B5" w:themeColor="accent1" w:themeShade="BF"/>
            <w:sz w:val="24"/>
            <w:szCs w:val="24"/>
          </w:rPr>
          <w:t>Taher A.Nofal</w:t>
        </w:r>
        <w:r w:rsidRPr="001E3C80">
          <w:rPr>
            <w:rStyle w:val="text"/>
            <w:rFonts w:ascii="Times New Roman" w:hAnsi="Times New Roman" w:cs="Times New Roman"/>
            <w:color w:val="2E74B5" w:themeColor="accent1" w:themeShade="BF"/>
            <w:sz w:val="24"/>
            <w:szCs w:val="24"/>
          </w:rPr>
          <w:t>,</w:t>
        </w:r>
      </w:hyperlink>
      <w:bookmarkStart w:id="4" w:name="bau025"/>
      <w:bookmarkEnd w:id="3"/>
      <w:r w:rsidRPr="001E3C80">
        <w:rPr>
          <w:rFonts w:ascii="Times New Roman" w:hAnsi="Times New Roman" w:cs="Times New Roman"/>
          <w:color w:val="2E74B5" w:themeColor="accent1" w:themeShade="BF"/>
          <w:sz w:val="24"/>
          <w:szCs w:val="24"/>
        </w:rPr>
        <w:t xml:space="preserve"> </w:t>
      </w:r>
      <w:hyperlink r:id="rId7" w:anchor="!" w:history="1">
        <w:r w:rsidRPr="001E3C80">
          <w:rPr>
            <w:rStyle w:val="text"/>
            <w:rFonts w:ascii="Times New Roman" w:hAnsi="Times New Roman" w:cs="Times New Roman"/>
            <w:color w:val="2E74B5" w:themeColor="accent1" w:themeShade="BF"/>
            <w:sz w:val="24"/>
            <w:szCs w:val="24"/>
          </w:rPr>
          <w:t>AliAkbar Shaikh</w:t>
        </w:r>
        <w:r w:rsidRPr="001E3C80">
          <w:rPr>
            <w:rStyle w:val="text"/>
            <w:rFonts w:ascii="Times New Roman" w:hAnsi="Times New Roman" w:cs="Times New Roman"/>
            <w:color w:val="2E74B5" w:themeColor="accent1" w:themeShade="BF"/>
            <w:sz w:val="24"/>
            <w:szCs w:val="24"/>
          </w:rPr>
          <w:t xml:space="preserve">, </w:t>
        </w:r>
      </w:hyperlink>
      <w:bookmarkStart w:id="5" w:name="bau030"/>
      <w:bookmarkEnd w:id="4"/>
      <w:r w:rsidRPr="001E3C80">
        <w:rPr>
          <w:rFonts w:ascii="Times New Roman" w:hAnsi="Times New Roman" w:cs="Times New Roman"/>
          <w:color w:val="2E74B5" w:themeColor="accent1" w:themeShade="BF"/>
          <w:sz w:val="24"/>
          <w:szCs w:val="24"/>
        </w:rPr>
        <w:fldChar w:fldCharType="begin"/>
      </w:r>
      <w:r w:rsidRPr="001E3C80">
        <w:rPr>
          <w:rFonts w:ascii="Times New Roman" w:hAnsi="Times New Roman" w:cs="Times New Roman"/>
          <w:color w:val="2E74B5" w:themeColor="accent1" w:themeShade="BF"/>
          <w:sz w:val="24"/>
          <w:szCs w:val="24"/>
        </w:rPr>
        <w:instrText xml:space="preserve"> HYPERLINK "https://www.sciencedirect.com/science/article/pii/S1110016821000491" \l "!" </w:instrText>
      </w:r>
      <w:r w:rsidRPr="001E3C80">
        <w:rPr>
          <w:rFonts w:ascii="Times New Roman" w:hAnsi="Times New Roman" w:cs="Times New Roman"/>
          <w:color w:val="2E74B5" w:themeColor="accent1" w:themeShade="BF"/>
          <w:sz w:val="24"/>
          <w:szCs w:val="24"/>
        </w:rPr>
        <w:fldChar w:fldCharType="separate"/>
      </w:r>
      <w:r w:rsidRPr="001E3C80">
        <w:rPr>
          <w:rStyle w:val="text"/>
          <w:rFonts w:ascii="Times New Roman" w:hAnsi="Times New Roman" w:cs="Times New Roman"/>
          <w:color w:val="2E74B5" w:themeColor="accent1" w:themeShade="BF"/>
          <w:sz w:val="24"/>
          <w:szCs w:val="24"/>
        </w:rPr>
        <w:t>Emad E.</w:t>
      </w:r>
      <w:r w:rsidRPr="001E3C80">
        <w:rPr>
          <w:rStyle w:val="text"/>
          <w:rFonts w:ascii="Times New Roman" w:hAnsi="Times New Roman" w:cs="Times New Roman"/>
          <w:color w:val="2E74B5" w:themeColor="accent1" w:themeShade="BF"/>
          <w:sz w:val="24"/>
          <w:szCs w:val="24"/>
        </w:rPr>
        <w:t xml:space="preserve"> </w:t>
      </w:r>
      <w:r w:rsidRPr="001E3C80">
        <w:rPr>
          <w:rStyle w:val="text"/>
          <w:rFonts w:ascii="Times New Roman" w:hAnsi="Times New Roman" w:cs="Times New Roman"/>
          <w:color w:val="2E74B5" w:themeColor="accent1" w:themeShade="BF"/>
          <w:sz w:val="24"/>
          <w:szCs w:val="24"/>
        </w:rPr>
        <w:t>Mahmoud</w:t>
      </w:r>
      <w:r w:rsidRPr="001E3C80">
        <w:rPr>
          <w:rStyle w:val="text"/>
          <w:rFonts w:ascii="Times New Roman" w:hAnsi="Times New Roman" w:cs="Times New Roman"/>
          <w:color w:val="2E74B5" w:themeColor="accent1" w:themeShade="BF"/>
          <w:sz w:val="24"/>
          <w:szCs w:val="24"/>
        </w:rPr>
        <w:t xml:space="preserve"> </w:t>
      </w:r>
      <w:r w:rsidRPr="001E3C80">
        <w:rPr>
          <w:rFonts w:ascii="Times New Roman" w:hAnsi="Times New Roman" w:cs="Times New Roman"/>
          <w:color w:val="2E74B5" w:themeColor="accent1" w:themeShade="BF"/>
          <w:sz w:val="24"/>
          <w:szCs w:val="24"/>
        </w:rPr>
        <w:fldChar w:fldCharType="end"/>
      </w:r>
      <w:bookmarkEnd w:id="5"/>
    </w:p>
    <w:p w:rsidR="001E3C80" w:rsidRPr="001E3C80" w:rsidRDefault="001E3C80" w:rsidP="001E3C80">
      <w:pPr>
        <w:spacing w:before="150" w:after="150" w:line="240" w:lineRule="auto"/>
        <w:jc w:val="both"/>
        <w:rPr>
          <w:rFonts w:ascii="Times New Roman" w:eastAsia="Times New Roman" w:hAnsi="Times New Roman" w:cs="Times New Roman"/>
          <w:b/>
          <w:color w:val="4C4C4C"/>
          <w:sz w:val="24"/>
          <w:szCs w:val="24"/>
        </w:rPr>
      </w:pPr>
    </w:p>
    <w:p w:rsidR="001C5DE9" w:rsidRPr="001E3C80" w:rsidRDefault="001C5DE9" w:rsidP="001E3C80">
      <w:pPr>
        <w:spacing w:before="150" w:after="150" w:line="240" w:lineRule="auto"/>
        <w:jc w:val="both"/>
        <w:rPr>
          <w:rFonts w:ascii="Times New Roman" w:eastAsia="Times New Roman" w:hAnsi="Times New Roman" w:cs="Times New Roman"/>
          <w:b/>
          <w:color w:val="4C4C4C"/>
          <w:sz w:val="24"/>
          <w:szCs w:val="24"/>
        </w:rPr>
      </w:pPr>
      <w:r w:rsidRPr="001E3C80">
        <w:rPr>
          <w:rFonts w:ascii="Times New Roman" w:eastAsia="Times New Roman" w:hAnsi="Times New Roman" w:cs="Times New Roman"/>
          <w:b/>
          <w:color w:val="4C4C4C"/>
          <w:sz w:val="24"/>
          <w:szCs w:val="24"/>
        </w:rPr>
        <w:t>Abstract:</w:t>
      </w:r>
    </w:p>
    <w:p w:rsidR="001E3C80" w:rsidRPr="001E3C80" w:rsidRDefault="001E3C80" w:rsidP="001E3C80">
      <w:pPr>
        <w:pStyle w:val="NormalWeb"/>
        <w:spacing w:before="0" w:beforeAutospacing="0" w:after="120" w:afterAutospacing="0" w:line="390" w:lineRule="atLeast"/>
        <w:jc w:val="both"/>
        <w:rPr>
          <w:color w:val="2E2E2E"/>
          <w:lang w:val="en"/>
        </w:rPr>
      </w:pPr>
      <w:r w:rsidRPr="001E3C80">
        <w:rPr>
          <w:color w:val="2E2E2E"/>
          <w:lang w:val="en"/>
        </w:rPr>
        <w:t>The goal of this work is to demonstrate the optimal strategy of an inventory system for perishable goods with hybrid demand dependent on selling price and stock under the partial backlogging with a certain fixed ratio. In this system, the concept of pre-payment policy with a discount facility and fixed preservation investment are also introduced. Then, this inventory system is modelled mathematically by </w:t>
      </w:r>
      <w:hyperlink r:id="rId8" w:tooltip="Learn more about governing differential equations from ScienceDirect's AI-generated Topic Pages" w:history="1">
        <w:r w:rsidRPr="001E3C80">
          <w:rPr>
            <w:rStyle w:val="Hyperlink"/>
            <w:color w:val="0C7DBB"/>
            <w:lang w:val="en"/>
          </w:rPr>
          <w:t>governing differential equations</w:t>
        </w:r>
      </w:hyperlink>
      <w:r w:rsidRPr="001E3C80">
        <w:rPr>
          <w:color w:val="2E2E2E"/>
          <w:lang w:val="en"/>
        </w:rPr>
        <w:t>, and solving these equations, the corresponding average profit of the proposed model is obtained as a non-linear maximization problem. To check the </w:t>
      </w:r>
      <w:hyperlink r:id="rId9" w:tooltip="Learn more about optimality from ScienceDirect's AI-generated Topic Pages" w:history="1">
        <w:r w:rsidRPr="001E3C80">
          <w:rPr>
            <w:rStyle w:val="Hyperlink"/>
            <w:color w:val="0C7DBB"/>
            <w:lang w:val="en"/>
          </w:rPr>
          <w:t>optimality</w:t>
        </w:r>
      </w:hyperlink>
      <w:r w:rsidRPr="001E3C80">
        <w:rPr>
          <w:color w:val="2E2E2E"/>
          <w:lang w:val="en"/>
        </w:rPr>
        <w:t> of the solution of the obtained non-linear maximization problem, some results are derived with the help of pseudo </w:t>
      </w:r>
      <w:hyperlink r:id="rId10" w:tooltip="Learn more about concavity from ScienceDirect's AI-generated Topic Pages" w:history="1">
        <w:r w:rsidRPr="001E3C80">
          <w:rPr>
            <w:rStyle w:val="Hyperlink"/>
            <w:color w:val="0C7DBB"/>
            <w:lang w:val="en"/>
          </w:rPr>
          <w:t>concavity</w:t>
        </w:r>
      </w:hyperlink>
      <w:r w:rsidRPr="001E3C80">
        <w:rPr>
          <w:color w:val="2E2E2E"/>
          <w:lang w:val="en"/>
        </w:rPr>
        <w:t> and optimality conditions of the objective function of the non-linear maximization problem. Then to justify the model, three examples are taken and solved by Lingo software. Also, the concavity of the average profit is examined graphically. Finally, a post optimality analysis is performed to show the effects of known inventory parameters on the </w:t>
      </w:r>
      <w:hyperlink r:id="rId11" w:tooltip="Learn more about optimal policy from ScienceDirect's AI-generated Topic Pages" w:history="1">
        <w:r w:rsidRPr="001E3C80">
          <w:rPr>
            <w:rStyle w:val="Hyperlink"/>
            <w:color w:val="0C7DBB"/>
            <w:lang w:val="en"/>
          </w:rPr>
          <w:t>optimal policy</w:t>
        </w:r>
      </w:hyperlink>
      <w:r w:rsidRPr="001E3C80">
        <w:rPr>
          <w:color w:val="2E2E2E"/>
          <w:lang w:val="en"/>
        </w:rPr>
        <w:t>.</w:t>
      </w:r>
    </w:p>
    <w:p w:rsidR="001E3C80" w:rsidRPr="001E3C80" w:rsidRDefault="001E3C80" w:rsidP="001E3C80">
      <w:pPr>
        <w:spacing w:before="150" w:after="150" w:line="240" w:lineRule="auto"/>
        <w:jc w:val="both"/>
        <w:rPr>
          <w:rFonts w:ascii="Times New Roman" w:eastAsia="Times New Roman" w:hAnsi="Times New Roman" w:cs="Times New Roman"/>
          <w:b/>
          <w:color w:val="4C4C4C"/>
          <w:sz w:val="24"/>
          <w:szCs w:val="24"/>
        </w:rPr>
      </w:pPr>
    </w:p>
    <w:p w:rsidR="001C5DE9" w:rsidRPr="001E3C80" w:rsidRDefault="001C5DE9" w:rsidP="001E3C80">
      <w:pPr>
        <w:spacing w:before="150" w:after="150" w:line="240" w:lineRule="auto"/>
        <w:jc w:val="both"/>
        <w:rPr>
          <w:rFonts w:ascii="Times New Roman" w:hAnsi="Times New Roman" w:cs="Times New Roman"/>
          <w:b/>
          <w:bCs/>
          <w:color w:val="4C4C4C"/>
          <w:sz w:val="24"/>
          <w:szCs w:val="24"/>
          <w:shd w:val="clear" w:color="auto" w:fill="FFFFFF"/>
        </w:rPr>
      </w:pPr>
      <w:bookmarkStart w:id="6" w:name="_GoBack"/>
      <w:bookmarkEnd w:id="6"/>
      <w:r w:rsidRPr="001E3C80">
        <w:rPr>
          <w:rFonts w:ascii="Times New Roman" w:hAnsi="Times New Roman" w:cs="Times New Roman"/>
          <w:b/>
          <w:bCs/>
          <w:color w:val="4C4C4C"/>
          <w:sz w:val="24"/>
          <w:szCs w:val="24"/>
          <w:shd w:val="clear" w:color="auto" w:fill="FFFFFF"/>
        </w:rPr>
        <w:t>Conference / Journal Link:</w:t>
      </w:r>
    </w:p>
    <w:bookmarkStart w:id="7" w:name="cj_link"/>
    <w:p w:rsidR="001E3C80" w:rsidRPr="001E3C80" w:rsidRDefault="001E3C80" w:rsidP="001E3C80">
      <w:pPr>
        <w:spacing w:before="150" w:after="150" w:line="240" w:lineRule="auto"/>
        <w:jc w:val="both"/>
        <w:rPr>
          <w:rFonts w:ascii="Times New Roman" w:hAnsi="Times New Roman" w:cs="Times New Roman"/>
          <w:b/>
          <w:bCs/>
          <w:color w:val="2E74B5" w:themeColor="accent1" w:themeShade="BF"/>
          <w:sz w:val="24"/>
          <w:szCs w:val="24"/>
          <w:shd w:val="clear" w:color="auto" w:fill="FFFFFF"/>
        </w:rPr>
      </w:pPr>
      <w:r w:rsidRPr="001E3C80">
        <w:rPr>
          <w:rFonts w:ascii="Times New Roman" w:hAnsi="Times New Roman" w:cs="Times New Roman"/>
          <w:color w:val="2E74B5" w:themeColor="accent1" w:themeShade="BF"/>
          <w:sz w:val="24"/>
          <w:szCs w:val="24"/>
        </w:rPr>
        <w:fldChar w:fldCharType="begin"/>
      </w:r>
      <w:r w:rsidRPr="001E3C80">
        <w:rPr>
          <w:rFonts w:ascii="Times New Roman" w:hAnsi="Times New Roman" w:cs="Times New Roman"/>
          <w:color w:val="2E74B5" w:themeColor="accent1" w:themeShade="BF"/>
          <w:sz w:val="24"/>
          <w:szCs w:val="24"/>
        </w:rPr>
        <w:instrText xml:space="preserve"> HYPERLINK "https://www.sciencedirect.com/science/article/pii/S1110016821000491" \t "_blank" </w:instrText>
      </w:r>
      <w:r w:rsidRPr="001E3C80">
        <w:rPr>
          <w:rFonts w:ascii="Times New Roman" w:hAnsi="Times New Roman" w:cs="Times New Roman"/>
          <w:color w:val="2E74B5" w:themeColor="accent1" w:themeShade="BF"/>
          <w:sz w:val="24"/>
          <w:szCs w:val="24"/>
        </w:rPr>
        <w:fldChar w:fldCharType="separate"/>
      </w:r>
      <w:r w:rsidRPr="001E3C80">
        <w:rPr>
          <w:rStyle w:val="Hyperlink"/>
          <w:rFonts w:ascii="Times New Roman" w:hAnsi="Times New Roman" w:cs="Times New Roman"/>
          <w:color w:val="2E74B5" w:themeColor="accent1" w:themeShade="BF"/>
          <w:sz w:val="24"/>
          <w:szCs w:val="24"/>
          <w:u w:val="none"/>
          <w:shd w:val="clear" w:color="auto" w:fill="FFFFFF"/>
        </w:rPr>
        <w:t>https://www.sciencedirect.com/science/article/pii/S1110016821000491</w:t>
      </w:r>
      <w:r w:rsidRPr="001E3C80">
        <w:rPr>
          <w:rFonts w:ascii="Times New Roman" w:hAnsi="Times New Roman" w:cs="Times New Roman"/>
          <w:color w:val="2E74B5" w:themeColor="accent1" w:themeShade="BF"/>
          <w:sz w:val="24"/>
          <w:szCs w:val="24"/>
        </w:rPr>
        <w:fldChar w:fldCharType="end"/>
      </w:r>
      <w:bookmarkEnd w:id="7"/>
    </w:p>
    <w:p w:rsidR="001C5DE9" w:rsidRPr="001E3C80" w:rsidRDefault="001C5DE9" w:rsidP="001E3C80">
      <w:pPr>
        <w:spacing w:before="150"/>
        <w:jc w:val="both"/>
        <w:rPr>
          <w:rFonts w:ascii="Times New Roman" w:hAnsi="Times New Roman" w:cs="Times New Roman"/>
          <w:b/>
          <w:color w:val="4C4C4C"/>
          <w:sz w:val="24"/>
          <w:szCs w:val="24"/>
        </w:rPr>
      </w:pPr>
    </w:p>
    <w:p w:rsidR="001C5DE9" w:rsidRPr="001E3C80" w:rsidRDefault="001C5DE9" w:rsidP="001E3C80">
      <w:pPr>
        <w:spacing w:before="150"/>
        <w:jc w:val="both"/>
        <w:rPr>
          <w:rFonts w:ascii="Times New Roman" w:hAnsi="Times New Roman" w:cs="Times New Roman"/>
          <w:b/>
          <w:color w:val="4C4C4C"/>
          <w:sz w:val="24"/>
          <w:szCs w:val="24"/>
        </w:rPr>
      </w:pPr>
      <w:r w:rsidRPr="001E3C80">
        <w:rPr>
          <w:rFonts w:ascii="Times New Roman" w:hAnsi="Times New Roman" w:cs="Times New Roman"/>
          <w:b/>
          <w:color w:val="4C4C4C"/>
          <w:sz w:val="24"/>
          <w:szCs w:val="24"/>
        </w:rPr>
        <w:t>DOI:</w:t>
      </w:r>
    </w:p>
    <w:p w:rsidR="001E3C80" w:rsidRPr="001E3C80" w:rsidRDefault="001E3C80" w:rsidP="001E3C80">
      <w:pPr>
        <w:spacing w:before="150"/>
        <w:jc w:val="both"/>
        <w:rPr>
          <w:rFonts w:ascii="Times New Roman" w:hAnsi="Times New Roman" w:cs="Times New Roman"/>
          <w:b/>
          <w:color w:val="2E74B5" w:themeColor="accent1" w:themeShade="BF"/>
          <w:sz w:val="24"/>
          <w:szCs w:val="24"/>
        </w:rPr>
      </w:pPr>
      <w:hyperlink r:id="rId12" w:tgtFrame="_blank" w:tooltip="Persistent link using digital object identifier" w:history="1">
        <w:r w:rsidRPr="001E3C80">
          <w:rPr>
            <w:rStyle w:val="Hyperlink"/>
            <w:rFonts w:ascii="Times New Roman" w:hAnsi="Times New Roman" w:cs="Times New Roman"/>
            <w:color w:val="2E74B5" w:themeColor="accent1" w:themeShade="BF"/>
            <w:sz w:val="24"/>
            <w:szCs w:val="24"/>
            <w:u w:val="none"/>
          </w:rPr>
          <w:t>https://doi.org/10.1016/j.aej.2021.01.045</w:t>
        </w:r>
      </w:hyperlink>
    </w:p>
    <w:p w:rsidR="00D0008B" w:rsidRPr="001E3C80" w:rsidRDefault="00D0008B" w:rsidP="001E3C80">
      <w:pPr>
        <w:jc w:val="both"/>
        <w:rPr>
          <w:rFonts w:ascii="Times New Roman" w:hAnsi="Times New Roman" w:cs="Times New Roman"/>
          <w:sz w:val="24"/>
          <w:szCs w:val="24"/>
        </w:rPr>
      </w:pPr>
    </w:p>
    <w:sectPr w:rsidR="00D0008B" w:rsidRPr="001E3C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07794"/>
    <w:rsid w:val="0001464A"/>
    <w:rsid w:val="000168CD"/>
    <w:rsid w:val="00051D68"/>
    <w:rsid w:val="00053E44"/>
    <w:rsid w:val="000702B0"/>
    <w:rsid w:val="000F4745"/>
    <w:rsid w:val="0014543D"/>
    <w:rsid w:val="00145E3C"/>
    <w:rsid w:val="00156BEB"/>
    <w:rsid w:val="0017394A"/>
    <w:rsid w:val="00195553"/>
    <w:rsid w:val="00197274"/>
    <w:rsid w:val="001C5DE9"/>
    <w:rsid w:val="001E3C80"/>
    <w:rsid w:val="00204521"/>
    <w:rsid w:val="00216276"/>
    <w:rsid w:val="00230A16"/>
    <w:rsid w:val="00242AB5"/>
    <w:rsid w:val="002A7220"/>
    <w:rsid w:val="002D4EE2"/>
    <w:rsid w:val="002D4EFD"/>
    <w:rsid w:val="002E225F"/>
    <w:rsid w:val="002E6C53"/>
    <w:rsid w:val="003209CF"/>
    <w:rsid w:val="00337B57"/>
    <w:rsid w:val="0038404F"/>
    <w:rsid w:val="003C0050"/>
    <w:rsid w:val="00436BE6"/>
    <w:rsid w:val="00447D6B"/>
    <w:rsid w:val="00452687"/>
    <w:rsid w:val="004D55BF"/>
    <w:rsid w:val="0050335E"/>
    <w:rsid w:val="0051294E"/>
    <w:rsid w:val="00536B49"/>
    <w:rsid w:val="00582687"/>
    <w:rsid w:val="00592ECC"/>
    <w:rsid w:val="005A7C0C"/>
    <w:rsid w:val="005C1451"/>
    <w:rsid w:val="005F7E27"/>
    <w:rsid w:val="00614BEB"/>
    <w:rsid w:val="00671A54"/>
    <w:rsid w:val="00676F29"/>
    <w:rsid w:val="006A2CB9"/>
    <w:rsid w:val="006B297C"/>
    <w:rsid w:val="006F2FC2"/>
    <w:rsid w:val="0071519C"/>
    <w:rsid w:val="00750640"/>
    <w:rsid w:val="007F65C3"/>
    <w:rsid w:val="0081115D"/>
    <w:rsid w:val="00812485"/>
    <w:rsid w:val="008A512B"/>
    <w:rsid w:val="008F6123"/>
    <w:rsid w:val="009043A4"/>
    <w:rsid w:val="00937397"/>
    <w:rsid w:val="00982A47"/>
    <w:rsid w:val="0099662C"/>
    <w:rsid w:val="009A7A13"/>
    <w:rsid w:val="009B3127"/>
    <w:rsid w:val="009C5F7B"/>
    <w:rsid w:val="009E0C23"/>
    <w:rsid w:val="009E22F9"/>
    <w:rsid w:val="00A67C2C"/>
    <w:rsid w:val="00AA75A4"/>
    <w:rsid w:val="00B86303"/>
    <w:rsid w:val="00B930C5"/>
    <w:rsid w:val="00BA5F16"/>
    <w:rsid w:val="00BB33BF"/>
    <w:rsid w:val="00BD4B8D"/>
    <w:rsid w:val="00BE3412"/>
    <w:rsid w:val="00C02829"/>
    <w:rsid w:val="00C44F43"/>
    <w:rsid w:val="00CA08FE"/>
    <w:rsid w:val="00CD2380"/>
    <w:rsid w:val="00CF649C"/>
    <w:rsid w:val="00D0008B"/>
    <w:rsid w:val="00D46E89"/>
    <w:rsid w:val="00E12547"/>
    <w:rsid w:val="00E20B35"/>
    <w:rsid w:val="00E32B53"/>
    <w:rsid w:val="00E403A9"/>
    <w:rsid w:val="00E71465"/>
    <w:rsid w:val="00F87024"/>
    <w:rsid w:val="00F962A9"/>
    <w:rsid w:val="00F978AB"/>
    <w:rsid w:val="00FC5E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paragraph" w:styleId="NormalWeb">
    <w:name w:val="Normal (Web)"/>
    <w:basedOn w:val="Normal"/>
    <w:uiPriority w:val="99"/>
    <w:semiHidden/>
    <w:unhideWhenUsed/>
    <w:rsid w:val="001E3C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
    <w:name w:val="text"/>
    <w:basedOn w:val="DefaultParagraphFont"/>
    <w:rsid w:val="001E3C80"/>
  </w:style>
  <w:style w:type="character" w:customStyle="1" w:styleId="author-ref">
    <w:name w:val="author-ref"/>
    <w:basedOn w:val="DefaultParagraphFont"/>
    <w:rsid w:val="001E3C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4876846">
      <w:bodyDiv w:val="1"/>
      <w:marLeft w:val="0"/>
      <w:marRight w:val="0"/>
      <w:marTop w:val="0"/>
      <w:marBottom w:val="0"/>
      <w:divBdr>
        <w:top w:val="none" w:sz="0" w:space="0" w:color="auto"/>
        <w:left w:val="none" w:sz="0" w:space="0" w:color="auto"/>
        <w:bottom w:val="none" w:sz="0" w:space="0" w:color="auto"/>
        <w:right w:val="none" w:sz="0" w:space="0" w:color="auto"/>
      </w:divBdr>
      <w:divsChild>
        <w:div w:id="1942446229">
          <w:marLeft w:val="0"/>
          <w:marRight w:val="0"/>
          <w:marTop w:val="0"/>
          <w:marBottom w:val="75"/>
          <w:divBdr>
            <w:top w:val="none" w:sz="0" w:space="0" w:color="auto"/>
            <w:left w:val="none" w:sz="0" w:space="0" w:color="auto"/>
            <w:bottom w:val="none" w:sz="0" w:space="0" w:color="auto"/>
            <w:right w:val="none" w:sz="0" w:space="0" w:color="auto"/>
          </w:divBdr>
          <w:divsChild>
            <w:div w:id="161970364">
              <w:marLeft w:val="0"/>
              <w:marRight w:val="0"/>
              <w:marTop w:val="0"/>
              <w:marBottom w:val="0"/>
              <w:divBdr>
                <w:top w:val="none" w:sz="0" w:space="0" w:color="auto"/>
                <w:left w:val="none" w:sz="0" w:space="0" w:color="auto"/>
                <w:bottom w:val="none" w:sz="0" w:space="0" w:color="auto"/>
                <w:right w:val="none" w:sz="0" w:space="0" w:color="auto"/>
              </w:divBdr>
              <w:divsChild>
                <w:div w:id="261887848">
                  <w:marLeft w:val="0"/>
                  <w:marRight w:val="0"/>
                  <w:marTop w:val="0"/>
                  <w:marBottom w:val="0"/>
                  <w:divBdr>
                    <w:top w:val="none" w:sz="0" w:space="0" w:color="auto"/>
                    <w:left w:val="none" w:sz="0" w:space="0" w:color="auto"/>
                    <w:bottom w:val="none" w:sz="0" w:space="0" w:color="auto"/>
                    <w:right w:val="none" w:sz="0" w:space="0" w:color="auto"/>
                  </w:divBdr>
                  <w:divsChild>
                    <w:div w:id="342324723">
                      <w:marLeft w:val="0"/>
                      <w:marRight w:val="0"/>
                      <w:marTop w:val="0"/>
                      <w:marBottom w:val="120"/>
                      <w:divBdr>
                        <w:top w:val="none" w:sz="0" w:space="0" w:color="auto"/>
                        <w:left w:val="none" w:sz="0" w:space="0" w:color="auto"/>
                        <w:bottom w:val="none" w:sz="0" w:space="0" w:color="auto"/>
                        <w:right w:val="none" w:sz="0" w:space="0" w:color="auto"/>
                      </w:divBdr>
                      <w:divsChild>
                        <w:div w:id="361591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iencedirect.com/topics/engineering/governing-differential-equation"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sciencedirect.com/science/article/pii/S1110016821000491" TargetMode="External"/><Relationship Id="rId12" Type="http://schemas.openxmlformats.org/officeDocument/2006/relationships/hyperlink" Target="https://doi.org/10.1016/j.aej.2021.01.045"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ciencedirect.com/science/article/pii/S1110016821000491" TargetMode="External"/><Relationship Id="rId11" Type="http://schemas.openxmlformats.org/officeDocument/2006/relationships/hyperlink" Target="https://www.sciencedirect.com/topics/engineering/optimal-policy" TargetMode="External"/><Relationship Id="rId5" Type="http://schemas.openxmlformats.org/officeDocument/2006/relationships/hyperlink" Target="https://www.sciencedirect.com/science/article/pii/S1110016821000491" TargetMode="External"/><Relationship Id="rId10" Type="http://schemas.openxmlformats.org/officeDocument/2006/relationships/hyperlink" Target="https://www.sciencedirect.com/topics/engineering/concavity" TargetMode="External"/><Relationship Id="rId4" Type="http://schemas.openxmlformats.org/officeDocument/2006/relationships/hyperlink" Target="https://www.sciencedirect.com/science/article/pii/S1110016821000491" TargetMode="External"/><Relationship Id="rId9" Type="http://schemas.openxmlformats.org/officeDocument/2006/relationships/hyperlink" Target="https://www.sciencedirect.com/topics/engineering/optimality"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437</Words>
  <Characters>2496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9</cp:revision>
  <dcterms:created xsi:type="dcterms:W3CDTF">2022-04-06T02:34:00Z</dcterms:created>
  <dcterms:modified xsi:type="dcterms:W3CDTF">2022-04-06T04:11:00Z</dcterms:modified>
</cp:coreProperties>
</file>