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BC3D00" w:rsidRDefault="00BC3D00" w:rsidP="00BC3D00">
      <w:pPr>
        <w:spacing w:before="150" w:after="150" w:line="240" w:lineRule="auto"/>
        <w:rPr>
          <w:rStyle w:val="blue-tooltip"/>
          <w:rFonts w:ascii="Times New Roman" w:hAnsi="Times New Roman" w:cs="Times New Roman"/>
          <w:sz w:val="40"/>
          <w:szCs w:val="40"/>
          <w:shd w:val="clear" w:color="auto" w:fill="FFFFFF"/>
        </w:rPr>
      </w:pPr>
      <w:r w:rsidRPr="00BC3D00">
        <w:rPr>
          <w:rStyle w:val="blue-tooltip"/>
          <w:rFonts w:ascii="Times New Roman" w:hAnsi="Times New Roman" w:cs="Times New Roman"/>
          <w:sz w:val="40"/>
          <w:szCs w:val="40"/>
          <w:shd w:val="clear" w:color="auto" w:fill="FFFFFF"/>
        </w:rPr>
        <w:t>Effect of Storage Conditions on Rancidity and Antioxidan</w:t>
      </w:r>
      <w:r w:rsidR="00D440BB">
        <w:rPr>
          <w:rStyle w:val="blue-tooltip"/>
          <w:rFonts w:ascii="Times New Roman" w:hAnsi="Times New Roman" w:cs="Times New Roman"/>
          <w:sz w:val="40"/>
          <w:szCs w:val="40"/>
          <w:shd w:val="clear" w:color="auto" w:fill="FFFFFF"/>
        </w:rPr>
        <w:t>t Activity of Gac Oil Compared w</w:t>
      </w:r>
      <w:r w:rsidRPr="00BC3D00">
        <w:rPr>
          <w:rStyle w:val="blue-tooltip"/>
          <w:rFonts w:ascii="Times New Roman" w:hAnsi="Times New Roman" w:cs="Times New Roman"/>
          <w:sz w:val="40"/>
          <w:szCs w:val="40"/>
          <w:shd w:val="clear" w:color="auto" w:fill="FFFFFF"/>
        </w:rPr>
        <w:t>ith Healthy Oils</w:t>
      </w:r>
      <w:bookmarkStart w:id="0" w:name="_GoBack"/>
      <w:bookmarkEnd w:id="0"/>
    </w:p>
    <w:p w:rsidR="00BC3D00" w:rsidRDefault="00BC3D00" w:rsidP="001C5DE9">
      <w:pPr>
        <w:spacing w:before="150" w:after="150" w:line="240" w:lineRule="auto"/>
        <w:jc w:val="both"/>
        <w:rPr>
          <w:rFonts w:ascii="Segoe UI" w:hAnsi="Segoe UI" w:cs="Segoe UI"/>
          <w:b/>
          <w:bCs/>
          <w:sz w:val="21"/>
          <w:szCs w:val="21"/>
          <w:shd w:val="clear" w:color="auto" w:fill="FFFFFF"/>
        </w:rPr>
      </w:pPr>
    </w:p>
    <w:p w:rsidR="009F5523" w:rsidRPr="00BC3D00" w:rsidRDefault="00BC3D00" w:rsidP="00BC3D00">
      <w:pPr>
        <w:spacing w:before="150" w:after="150" w:line="240" w:lineRule="auto"/>
        <w:jc w:val="both"/>
        <w:rPr>
          <w:rFonts w:ascii="Times New Roman" w:eastAsia="Times New Roman" w:hAnsi="Times New Roman" w:cs="Times New Roman"/>
          <w:color w:val="2E74B5" w:themeColor="accent1" w:themeShade="BF"/>
          <w:sz w:val="24"/>
          <w:szCs w:val="24"/>
        </w:rPr>
      </w:pPr>
      <w:r w:rsidRPr="00BC3D00">
        <w:rPr>
          <w:rFonts w:ascii="Times New Roman" w:hAnsi="Times New Roman" w:cs="Times New Roman"/>
          <w:bCs/>
          <w:color w:val="2E74B5" w:themeColor="accent1" w:themeShade="BF"/>
          <w:sz w:val="24"/>
          <w:szCs w:val="24"/>
          <w:shd w:val="clear" w:color="auto" w:fill="FFFFFF"/>
        </w:rPr>
        <w:t>Montip Chamchong</w:t>
      </w:r>
      <w:r w:rsidRPr="00BC3D00">
        <w:rPr>
          <w:rFonts w:ascii="Times New Roman" w:hAnsi="Times New Roman" w:cs="Times New Roman"/>
          <w:bCs/>
          <w:color w:val="2E74B5" w:themeColor="accent1" w:themeShade="BF"/>
          <w:sz w:val="24"/>
          <w:szCs w:val="24"/>
          <w:shd w:val="clear" w:color="auto" w:fill="FFFFFF"/>
        </w:rPr>
        <w:t xml:space="preserve">, </w:t>
      </w:r>
      <w:r w:rsidRPr="00BC3D00">
        <w:rPr>
          <w:rFonts w:ascii="Times New Roman" w:hAnsi="Times New Roman" w:cs="Times New Roman"/>
          <w:bCs/>
          <w:color w:val="2E74B5" w:themeColor="accent1" w:themeShade="BF"/>
          <w:sz w:val="24"/>
          <w:szCs w:val="24"/>
          <w:shd w:val="clear" w:color="auto" w:fill="FFFFFF"/>
        </w:rPr>
        <w:t>Darun Waeruwanaruk</w:t>
      </w:r>
      <w:r w:rsidRPr="00BC3D00">
        <w:rPr>
          <w:rFonts w:ascii="Times New Roman" w:hAnsi="Times New Roman" w:cs="Times New Roman"/>
          <w:bCs/>
          <w:color w:val="2E74B5" w:themeColor="accent1" w:themeShade="BF"/>
          <w:sz w:val="24"/>
          <w:szCs w:val="24"/>
          <w:shd w:val="clear" w:color="auto" w:fill="FFFFFF"/>
        </w:rPr>
        <w:t xml:space="preserve">, </w:t>
      </w:r>
      <w:r w:rsidRPr="00BC3D00">
        <w:rPr>
          <w:rFonts w:ascii="Times New Roman" w:hAnsi="Times New Roman" w:cs="Times New Roman"/>
          <w:bCs/>
          <w:color w:val="2E74B5" w:themeColor="accent1" w:themeShade="BF"/>
          <w:sz w:val="24"/>
          <w:szCs w:val="24"/>
          <w:shd w:val="clear" w:color="auto" w:fill="FFFFFF"/>
        </w:rPr>
        <w:t>Chanikarn Guntornkun</w:t>
      </w:r>
      <w:r w:rsidRPr="00BC3D00">
        <w:rPr>
          <w:rFonts w:ascii="Times New Roman" w:hAnsi="Times New Roman" w:cs="Times New Roman"/>
          <w:bCs/>
          <w:color w:val="2E74B5" w:themeColor="accent1" w:themeShade="BF"/>
          <w:sz w:val="24"/>
          <w:szCs w:val="24"/>
          <w:shd w:val="clear" w:color="auto" w:fill="FFFFFF"/>
        </w:rPr>
        <w:t xml:space="preserve">, </w:t>
      </w:r>
      <w:r w:rsidRPr="00BC3D00">
        <w:rPr>
          <w:rFonts w:ascii="Times New Roman" w:hAnsi="Times New Roman" w:cs="Times New Roman"/>
          <w:bCs/>
          <w:color w:val="2E74B5" w:themeColor="accent1" w:themeShade="BF"/>
          <w:sz w:val="24"/>
          <w:szCs w:val="24"/>
          <w:shd w:val="clear" w:color="auto" w:fill="FFFFFF"/>
        </w:rPr>
        <w:t>Tania Alam</w:t>
      </w:r>
    </w:p>
    <w:p w:rsidR="00BC3D00" w:rsidRPr="00BC3D00" w:rsidRDefault="00BC3D00" w:rsidP="00BC3D00">
      <w:pPr>
        <w:spacing w:before="150" w:after="150" w:line="240" w:lineRule="auto"/>
        <w:jc w:val="both"/>
        <w:rPr>
          <w:rFonts w:ascii="Times New Roman" w:eastAsia="Times New Roman" w:hAnsi="Times New Roman" w:cs="Times New Roman"/>
          <w:b/>
          <w:color w:val="4C4C4C"/>
          <w:sz w:val="24"/>
          <w:szCs w:val="24"/>
        </w:rPr>
      </w:pPr>
    </w:p>
    <w:p w:rsidR="001C5DE9" w:rsidRPr="00BC3D00" w:rsidRDefault="001C5DE9" w:rsidP="00BC3D00">
      <w:pPr>
        <w:spacing w:before="150" w:after="150" w:line="240" w:lineRule="auto"/>
        <w:jc w:val="both"/>
        <w:rPr>
          <w:rFonts w:ascii="Times New Roman" w:eastAsia="Times New Roman" w:hAnsi="Times New Roman" w:cs="Times New Roman"/>
          <w:b/>
          <w:color w:val="4C4C4C"/>
          <w:sz w:val="24"/>
          <w:szCs w:val="24"/>
        </w:rPr>
      </w:pPr>
      <w:r w:rsidRPr="00BC3D00">
        <w:rPr>
          <w:rFonts w:ascii="Times New Roman" w:eastAsia="Times New Roman" w:hAnsi="Times New Roman" w:cs="Times New Roman"/>
          <w:b/>
          <w:color w:val="4C4C4C"/>
          <w:sz w:val="24"/>
          <w:szCs w:val="24"/>
        </w:rPr>
        <w:t>Abstract:</w:t>
      </w:r>
    </w:p>
    <w:p w:rsidR="00BC3D00" w:rsidRPr="00BC3D00" w:rsidRDefault="00BC3D00" w:rsidP="00BC3D00">
      <w:pPr>
        <w:spacing w:before="150" w:after="150" w:line="240" w:lineRule="auto"/>
        <w:jc w:val="both"/>
        <w:rPr>
          <w:rFonts w:ascii="Times New Roman" w:eastAsia="Times New Roman" w:hAnsi="Times New Roman" w:cs="Times New Roman"/>
          <w:b/>
          <w:color w:val="4C4C4C"/>
          <w:sz w:val="24"/>
          <w:szCs w:val="24"/>
        </w:rPr>
      </w:pPr>
      <w:r w:rsidRPr="00BC3D00">
        <w:rPr>
          <w:rFonts w:ascii="Times New Roman" w:hAnsi="Times New Roman" w:cs="Times New Roman"/>
          <w:sz w:val="24"/>
          <w:szCs w:val="24"/>
          <w:shd w:val="clear" w:color="auto" w:fill="FFFFFF"/>
        </w:rPr>
        <w:t>The kinetic changes were studied of the chemical attributes (oxidative and hydrolytic rancidity, lycopene, beta-carotene, antioxidant capacity) of gac oil during storage with and without limited oxygen at different temperatures. The results were compared with those of other healthy oils (virgin olive, virgin rice bran, virgin camellia tea seed) stored under the same conditions. Samples (each 7 mL) of the oils were stored in 10 mL open-capped and closed-capped amber glass bottles and kept at four different storage temperatures (5°C, 25°C, 40°C, 60°C) for 1 mth. Before being kept in storage, the gac oil had the highest antioxidant capacity (mean ± SD; 143.53 ± 10.62 mg ascorbic acid equivalents (AAE)/g oil) and after storage at 40–60°C, its degradation rate of antioxidant capacity was the lowest. The antioxidant capacity of the gac oil remained the highest in the range 46.75 ± 1.05 mg AAE/g oil to 54.06 ± 0.29 mg AAE/g oil despite decolorization from dark-red to an orange-yellow color at these storage temperatures (40–60°C). The rate constant of reaction regarding hydrolytic rancidity for rice bran oil increased more rapidly than for the other oils when the storage temperature increased.</w:t>
      </w:r>
    </w:p>
    <w:p w:rsidR="009F5523" w:rsidRPr="00BC3D00" w:rsidRDefault="009F5523" w:rsidP="00BC3D00">
      <w:pPr>
        <w:spacing w:before="150" w:after="150" w:line="240" w:lineRule="auto"/>
        <w:jc w:val="both"/>
        <w:rPr>
          <w:rFonts w:ascii="Times New Roman" w:eastAsia="Times New Roman" w:hAnsi="Times New Roman" w:cs="Times New Roman"/>
          <w:b/>
          <w:color w:val="4C4C4C"/>
          <w:sz w:val="24"/>
          <w:szCs w:val="24"/>
        </w:rPr>
      </w:pPr>
    </w:p>
    <w:p w:rsidR="001C5DE9" w:rsidRPr="00BC3D00" w:rsidRDefault="001C5DE9" w:rsidP="00BC3D00">
      <w:pPr>
        <w:spacing w:before="150" w:after="150" w:line="240" w:lineRule="auto"/>
        <w:jc w:val="both"/>
        <w:rPr>
          <w:rFonts w:ascii="Times New Roman" w:hAnsi="Times New Roman" w:cs="Times New Roman"/>
          <w:b/>
          <w:bCs/>
          <w:color w:val="4C4C4C"/>
          <w:sz w:val="24"/>
          <w:szCs w:val="24"/>
          <w:shd w:val="clear" w:color="auto" w:fill="FFFFFF"/>
        </w:rPr>
      </w:pPr>
      <w:r w:rsidRPr="00BC3D00">
        <w:rPr>
          <w:rFonts w:ascii="Times New Roman" w:hAnsi="Times New Roman" w:cs="Times New Roman"/>
          <w:b/>
          <w:bCs/>
          <w:color w:val="4C4C4C"/>
          <w:sz w:val="24"/>
          <w:szCs w:val="24"/>
          <w:shd w:val="clear" w:color="auto" w:fill="FFFFFF"/>
        </w:rPr>
        <w:t>Conference / Journal Link:</w:t>
      </w:r>
    </w:p>
    <w:bookmarkStart w:id="1" w:name="cj_link"/>
    <w:p w:rsidR="00BC3D00" w:rsidRPr="00BC3D00" w:rsidRDefault="00BC3D00" w:rsidP="00BC3D0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C3D00">
        <w:rPr>
          <w:rFonts w:ascii="Times New Roman" w:hAnsi="Times New Roman" w:cs="Times New Roman"/>
          <w:color w:val="2E74B5" w:themeColor="accent1" w:themeShade="BF"/>
          <w:sz w:val="24"/>
          <w:szCs w:val="24"/>
        </w:rPr>
        <w:fldChar w:fldCharType="begin"/>
      </w:r>
      <w:r w:rsidRPr="00BC3D00">
        <w:rPr>
          <w:rFonts w:ascii="Times New Roman" w:hAnsi="Times New Roman" w:cs="Times New Roman"/>
          <w:color w:val="2E74B5" w:themeColor="accent1" w:themeShade="BF"/>
          <w:sz w:val="24"/>
          <w:szCs w:val="24"/>
        </w:rPr>
        <w:instrText xml:space="preserve"> HYPERLINK "https://li01.tci-thaijo.org/index.php/anres/article/view/251030" \t "_blank" </w:instrText>
      </w:r>
      <w:r w:rsidRPr="00BC3D00">
        <w:rPr>
          <w:rFonts w:ascii="Times New Roman" w:hAnsi="Times New Roman" w:cs="Times New Roman"/>
          <w:color w:val="2E74B5" w:themeColor="accent1" w:themeShade="BF"/>
          <w:sz w:val="24"/>
          <w:szCs w:val="24"/>
        </w:rPr>
        <w:fldChar w:fldCharType="separate"/>
      </w:r>
      <w:r w:rsidRPr="00BC3D00">
        <w:rPr>
          <w:rStyle w:val="Hyperlink"/>
          <w:rFonts w:ascii="Times New Roman" w:hAnsi="Times New Roman" w:cs="Times New Roman"/>
          <w:color w:val="2E74B5" w:themeColor="accent1" w:themeShade="BF"/>
          <w:sz w:val="24"/>
          <w:szCs w:val="24"/>
          <w:u w:val="none"/>
          <w:shd w:val="clear" w:color="auto" w:fill="FFFFFF"/>
        </w:rPr>
        <w:t>https://li01.tci-thaijo.org/index.php/anres/article/view/251030</w:t>
      </w:r>
      <w:r w:rsidRPr="00BC3D00">
        <w:rPr>
          <w:rFonts w:ascii="Times New Roman" w:hAnsi="Times New Roman" w:cs="Times New Roman"/>
          <w:color w:val="2E74B5" w:themeColor="accent1" w:themeShade="BF"/>
          <w:sz w:val="24"/>
          <w:szCs w:val="24"/>
        </w:rPr>
        <w:fldChar w:fldCharType="end"/>
      </w:r>
      <w:bookmarkEnd w:id="1"/>
    </w:p>
    <w:p w:rsidR="00D0008B" w:rsidRPr="00BC3D00" w:rsidRDefault="00D0008B" w:rsidP="00BC3D00">
      <w:pPr>
        <w:jc w:val="both"/>
        <w:rPr>
          <w:rFonts w:ascii="Times New Roman" w:hAnsi="Times New Roman" w:cs="Times New Roman"/>
          <w:sz w:val="24"/>
          <w:szCs w:val="24"/>
        </w:rPr>
      </w:pPr>
    </w:p>
    <w:sectPr w:rsidR="00D0008B" w:rsidRPr="00BC3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51CAE"/>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C3D00"/>
    <w:rsid w:val="00BD4B8D"/>
    <w:rsid w:val="00BE3412"/>
    <w:rsid w:val="00C02829"/>
    <w:rsid w:val="00C14054"/>
    <w:rsid w:val="00C44F43"/>
    <w:rsid w:val="00CA08FE"/>
    <w:rsid w:val="00CC3683"/>
    <w:rsid w:val="00CD2380"/>
    <w:rsid w:val="00CF649C"/>
    <w:rsid w:val="00D0008B"/>
    <w:rsid w:val="00D440B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2022-04-16T03:25:00Z</dcterms:created>
  <dcterms:modified xsi:type="dcterms:W3CDTF">2022-04-16T04:27:00Z</dcterms:modified>
</cp:coreProperties>
</file>