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A855D2" w:rsidRDefault="00393ED2" w:rsidP="00A855D2">
      <w:pPr>
        <w:spacing w:before="150" w:after="150" w:line="240" w:lineRule="auto"/>
        <w:rPr>
          <w:rStyle w:val="blue-tooltip"/>
          <w:rFonts w:ascii="Times New Roman" w:hAnsi="Times New Roman" w:cs="Times New Roman"/>
          <w:sz w:val="40"/>
          <w:szCs w:val="40"/>
          <w:shd w:val="clear" w:color="auto" w:fill="FFFFFF"/>
        </w:rPr>
      </w:pPr>
      <w:r w:rsidRPr="00A855D2">
        <w:rPr>
          <w:rStyle w:val="blue-tooltip"/>
          <w:rFonts w:ascii="Times New Roman" w:hAnsi="Times New Roman" w:cs="Times New Roman"/>
          <w:sz w:val="40"/>
          <w:szCs w:val="40"/>
          <w:shd w:val="clear" w:color="auto" w:fill="FFFFFF"/>
        </w:rPr>
        <w:t xml:space="preserve">Numerical Demonstration of Triangular Shaped Photonic Crystal </w:t>
      </w:r>
      <w:proofErr w:type="spellStart"/>
      <w:r w:rsidRPr="00A855D2">
        <w:rPr>
          <w:rStyle w:val="blue-tooltip"/>
          <w:rFonts w:ascii="Times New Roman" w:hAnsi="Times New Roman" w:cs="Times New Roman"/>
          <w:sz w:val="40"/>
          <w:szCs w:val="40"/>
          <w:shd w:val="clear" w:color="auto" w:fill="FFFFFF"/>
        </w:rPr>
        <w:t>Fibre</w:t>
      </w:r>
      <w:proofErr w:type="spellEnd"/>
      <w:r w:rsidRPr="00A855D2">
        <w:rPr>
          <w:rStyle w:val="blue-tooltip"/>
          <w:rFonts w:ascii="Times New Roman" w:hAnsi="Times New Roman" w:cs="Times New Roman"/>
          <w:sz w:val="40"/>
          <w:szCs w:val="40"/>
          <w:shd w:val="clear" w:color="auto" w:fill="FFFFFF"/>
        </w:rPr>
        <w:t>-based Biosensor in the Terahertz Range</w:t>
      </w:r>
    </w:p>
    <w:p w:rsidR="00393ED2" w:rsidRPr="00393ED2" w:rsidRDefault="00393ED2" w:rsidP="001C5DE9">
      <w:pPr>
        <w:spacing w:before="150" w:after="150" w:line="240" w:lineRule="auto"/>
        <w:jc w:val="both"/>
        <w:rPr>
          <w:rStyle w:val="blue-tooltip"/>
          <w:rFonts w:ascii="Times New Roman" w:hAnsi="Times New Roman" w:cs="Times New Roman"/>
          <w:color w:val="2E74B5" w:themeColor="accent1" w:themeShade="BF"/>
          <w:sz w:val="40"/>
          <w:szCs w:val="40"/>
          <w:shd w:val="clear" w:color="auto" w:fill="FFFFFF"/>
        </w:rPr>
      </w:pPr>
      <w:bookmarkStart w:id="0" w:name="_GoBack"/>
      <w:bookmarkEnd w:id="0"/>
    </w:p>
    <w:p w:rsidR="009F5523" w:rsidRPr="00D7389B" w:rsidRDefault="00393ED2" w:rsidP="00D7389B">
      <w:pPr>
        <w:spacing w:before="150" w:after="150" w:line="240" w:lineRule="auto"/>
        <w:rPr>
          <w:rFonts w:ascii="Times New Roman" w:eastAsia="Times New Roman" w:hAnsi="Times New Roman" w:cs="Times New Roman"/>
          <w:b/>
          <w:color w:val="2E74B5" w:themeColor="accent1" w:themeShade="BF"/>
          <w:sz w:val="24"/>
          <w:szCs w:val="24"/>
        </w:rPr>
      </w:pPr>
      <w:hyperlink r:id="rId4" w:history="1">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Kawsar</w:t>
        </w:r>
        <w:proofErr w:type="spellEnd"/>
        <w:r w:rsidRPr="00D7389B">
          <w:rPr>
            <w:rStyle w:val="Hyperlink"/>
            <w:rFonts w:ascii="Times New Roman" w:hAnsi="Times New Roman" w:cs="Times New Roman"/>
            <w:color w:val="2E74B5" w:themeColor="accent1" w:themeShade="BF"/>
            <w:sz w:val="24"/>
            <w:szCs w:val="24"/>
            <w:u w:val="none"/>
            <w:bdr w:val="none" w:sz="0" w:space="0" w:color="auto" w:frame="1"/>
          </w:rPr>
          <w:t xml:space="preserve"> Ahmed</w:t>
        </w:r>
      </w:hyperlink>
      <w:r w:rsidRPr="00D7389B">
        <w:rPr>
          <w:rStyle w:val="comma-separator"/>
          <w:rFonts w:ascii="Times New Roman" w:hAnsi="Times New Roman" w:cs="Times New Roman"/>
          <w:color w:val="2E74B5" w:themeColor="accent1" w:themeShade="BF"/>
          <w:sz w:val="24"/>
          <w:szCs w:val="24"/>
          <w:bdr w:val="none" w:sz="0" w:space="0" w:color="auto" w:frame="1"/>
          <w:shd w:val="clear" w:color="auto" w:fill="FFFFFF"/>
        </w:rPr>
        <w:t>,</w:t>
      </w:r>
      <w:r w:rsidR="00D7389B">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5" w:history="1">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Bikash</w:t>
        </w:r>
        <w:proofErr w:type="spellEnd"/>
        <w:r w:rsidRPr="00D7389B">
          <w:rPr>
            <w:rStyle w:val="Hyperlink"/>
            <w:rFonts w:ascii="Times New Roman" w:hAnsi="Times New Roman" w:cs="Times New Roman"/>
            <w:color w:val="2E74B5" w:themeColor="accent1" w:themeShade="BF"/>
            <w:sz w:val="24"/>
            <w:szCs w:val="24"/>
            <w:u w:val="none"/>
            <w:bdr w:val="none" w:sz="0" w:space="0" w:color="auto" w:frame="1"/>
          </w:rPr>
          <w:t xml:space="preserve"> Kumar </w:t>
        </w:r>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Paul</w:t>
        </w:r>
      </w:hyperlink>
      <w:r w:rsidRPr="00D7389B">
        <w:rPr>
          <w:rStyle w:val="comma-separator"/>
          <w:rFonts w:ascii="Times New Roman" w:hAnsi="Times New Roman" w:cs="Times New Roman"/>
          <w:color w:val="2E74B5" w:themeColor="accent1" w:themeShade="BF"/>
          <w:sz w:val="24"/>
          <w:szCs w:val="24"/>
          <w:bdr w:val="none" w:sz="0" w:space="0" w:color="auto" w:frame="1"/>
          <w:shd w:val="clear" w:color="auto" w:fill="FFFFFF"/>
        </w:rPr>
        <w:t>,</w:t>
      </w:r>
      <w:hyperlink r:id="rId6" w:history="1">
        <w:r w:rsidRPr="00D7389B">
          <w:rPr>
            <w:rStyle w:val="Hyperlink"/>
            <w:rFonts w:ascii="Times New Roman" w:hAnsi="Times New Roman" w:cs="Times New Roman"/>
            <w:color w:val="2E74B5" w:themeColor="accent1" w:themeShade="BF"/>
            <w:sz w:val="24"/>
            <w:szCs w:val="24"/>
            <w:u w:val="none"/>
            <w:bdr w:val="none" w:sz="0" w:space="0" w:color="auto" w:frame="1"/>
          </w:rPr>
          <w:t>Fahad</w:t>
        </w:r>
        <w:proofErr w:type="spellEnd"/>
        <w:r w:rsidRPr="00D7389B">
          <w:rPr>
            <w:rStyle w:val="Hyperlink"/>
            <w:rFonts w:ascii="Times New Roman" w:hAnsi="Times New Roman" w:cs="Times New Roman"/>
            <w:color w:val="2E74B5" w:themeColor="accent1" w:themeShade="BF"/>
            <w:sz w:val="24"/>
            <w:szCs w:val="24"/>
            <w:u w:val="none"/>
            <w:bdr w:val="none" w:sz="0" w:space="0" w:color="auto" w:frame="1"/>
          </w:rPr>
          <w:t xml:space="preserve"> Ahmed</w:t>
        </w:r>
      </w:hyperlink>
      <w:r w:rsidRPr="00D7389B">
        <w:rPr>
          <w:rStyle w:val="comma-separator"/>
          <w:rFonts w:ascii="Times New Roman" w:hAnsi="Times New Roman" w:cs="Times New Roman"/>
          <w:color w:val="2E74B5" w:themeColor="accent1" w:themeShade="BF"/>
          <w:sz w:val="24"/>
          <w:szCs w:val="24"/>
          <w:bdr w:val="none" w:sz="0" w:space="0" w:color="auto" w:frame="1"/>
          <w:shd w:val="clear" w:color="auto" w:fill="FFFFFF"/>
        </w:rPr>
        <w:t>,</w:t>
      </w:r>
      <w:r w:rsidR="00D7389B">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7" w:history="1">
        <w:r w:rsidRPr="00D7389B">
          <w:rPr>
            <w:rStyle w:val="Hyperlink"/>
            <w:rFonts w:ascii="Times New Roman" w:hAnsi="Times New Roman" w:cs="Times New Roman"/>
            <w:color w:val="2E74B5" w:themeColor="accent1" w:themeShade="BF"/>
            <w:sz w:val="24"/>
            <w:szCs w:val="24"/>
            <w:u w:val="none"/>
            <w:bdr w:val="none" w:sz="0" w:space="0" w:color="auto" w:frame="1"/>
          </w:rPr>
          <w:t xml:space="preserve">Md. </w:t>
        </w:r>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Asaduzzaman</w:t>
        </w:r>
        <w:proofErr w:type="spellEnd"/>
        <w:r w:rsidRPr="00D7389B">
          <w:rPr>
            <w:rStyle w:val="Hyperlink"/>
            <w:rFonts w:ascii="Times New Roman" w:hAnsi="Times New Roman" w:cs="Times New Roman"/>
            <w:color w:val="2E74B5" w:themeColor="accent1" w:themeShade="BF"/>
            <w:sz w:val="24"/>
            <w:szCs w:val="24"/>
            <w:u w:val="none"/>
            <w:bdr w:val="none" w:sz="0" w:space="0" w:color="auto" w:frame="1"/>
          </w:rPr>
          <w:t xml:space="preserve"> </w:t>
        </w:r>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Jabin</w:t>
        </w:r>
        <w:proofErr w:type="spellEnd"/>
      </w:hyperlink>
      <w:r w:rsidRPr="00D7389B">
        <w:rPr>
          <w:rStyle w:val="comma-separator"/>
          <w:rFonts w:ascii="Times New Roman" w:hAnsi="Times New Roman" w:cs="Times New Roman"/>
          <w:color w:val="2E74B5" w:themeColor="accent1" w:themeShade="BF"/>
          <w:sz w:val="24"/>
          <w:szCs w:val="24"/>
          <w:bdr w:val="none" w:sz="0" w:space="0" w:color="auto" w:frame="1"/>
          <w:shd w:val="clear" w:color="auto" w:fill="FFFFFF"/>
        </w:rPr>
        <w:t>,</w:t>
      </w:r>
      <w:r w:rsidR="00D7389B">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8" w:history="1">
        <w:r w:rsidRPr="00D7389B">
          <w:rPr>
            <w:rStyle w:val="Hyperlink"/>
            <w:rFonts w:ascii="Times New Roman" w:hAnsi="Times New Roman" w:cs="Times New Roman"/>
            <w:color w:val="2E74B5" w:themeColor="accent1" w:themeShade="BF"/>
            <w:sz w:val="24"/>
            <w:szCs w:val="24"/>
            <w:u w:val="none"/>
            <w:bdr w:val="none" w:sz="0" w:space="0" w:color="auto" w:frame="1"/>
          </w:rPr>
          <w:t xml:space="preserve">Muhammad </w:t>
        </w:r>
        <w:proofErr w:type="spellStart"/>
        <w:r w:rsidRPr="00D7389B">
          <w:rPr>
            <w:rStyle w:val="Hyperlink"/>
            <w:rFonts w:ascii="Times New Roman" w:hAnsi="Times New Roman" w:cs="Times New Roman"/>
            <w:color w:val="2E74B5" w:themeColor="accent1" w:themeShade="BF"/>
            <w:sz w:val="24"/>
            <w:szCs w:val="24"/>
            <w:u w:val="none"/>
            <w:bdr w:val="none" w:sz="0" w:space="0" w:color="auto" w:frame="1"/>
          </w:rPr>
          <w:t>Shahin</w:t>
        </w:r>
        <w:proofErr w:type="spellEnd"/>
        <w:r w:rsidRPr="00D7389B">
          <w:rPr>
            <w:rStyle w:val="Hyperlink"/>
            <w:rFonts w:ascii="Times New Roman" w:hAnsi="Times New Roman" w:cs="Times New Roman"/>
            <w:color w:val="2E74B5" w:themeColor="accent1" w:themeShade="BF"/>
            <w:sz w:val="24"/>
            <w:szCs w:val="24"/>
            <w:u w:val="none"/>
            <w:bdr w:val="none" w:sz="0" w:space="0" w:color="auto" w:frame="1"/>
          </w:rPr>
          <w:t xml:space="preserve"> Uddin</w:t>
        </w:r>
      </w:hyperlink>
    </w:p>
    <w:p w:rsidR="00393ED2" w:rsidRPr="00D7389B" w:rsidRDefault="00393ED2" w:rsidP="00D7389B">
      <w:pPr>
        <w:spacing w:before="150" w:after="150" w:line="240" w:lineRule="auto"/>
        <w:jc w:val="both"/>
        <w:rPr>
          <w:rFonts w:ascii="Times New Roman" w:eastAsia="Times New Roman" w:hAnsi="Times New Roman" w:cs="Times New Roman"/>
          <w:b/>
          <w:color w:val="4C4C4C"/>
          <w:sz w:val="24"/>
          <w:szCs w:val="24"/>
        </w:rPr>
      </w:pPr>
    </w:p>
    <w:p w:rsidR="001C5DE9" w:rsidRPr="00D7389B" w:rsidRDefault="001C5DE9" w:rsidP="00D7389B">
      <w:pPr>
        <w:spacing w:before="150" w:after="150" w:line="240" w:lineRule="auto"/>
        <w:jc w:val="both"/>
        <w:rPr>
          <w:rFonts w:ascii="Times New Roman" w:eastAsia="Times New Roman" w:hAnsi="Times New Roman" w:cs="Times New Roman"/>
          <w:b/>
          <w:color w:val="4C4C4C"/>
          <w:sz w:val="24"/>
          <w:szCs w:val="24"/>
        </w:rPr>
      </w:pPr>
      <w:r w:rsidRPr="00D7389B">
        <w:rPr>
          <w:rFonts w:ascii="Times New Roman" w:eastAsia="Times New Roman" w:hAnsi="Times New Roman" w:cs="Times New Roman"/>
          <w:b/>
          <w:color w:val="4C4C4C"/>
          <w:sz w:val="24"/>
          <w:szCs w:val="24"/>
        </w:rPr>
        <w:t>Abstract:</w:t>
      </w:r>
    </w:p>
    <w:p w:rsidR="00393ED2" w:rsidRPr="00D7389B" w:rsidRDefault="00393ED2" w:rsidP="00D7389B">
      <w:pPr>
        <w:spacing w:before="150" w:after="150" w:line="240" w:lineRule="auto"/>
        <w:jc w:val="both"/>
        <w:rPr>
          <w:rFonts w:ascii="Times New Roman" w:eastAsia="Times New Roman" w:hAnsi="Times New Roman" w:cs="Times New Roman"/>
          <w:b/>
          <w:color w:val="4C4C4C"/>
          <w:sz w:val="24"/>
          <w:szCs w:val="24"/>
        </w:rPr>
      </w:pPr>
      <w:r w:rsidRPr="00D7389B">
        <w:rPr>
          <w:rFonts w:ascii="Times New Roman" w:hAnsi="Times New Roman" w:cs="Times New Roman"/>
          <w:color w:val="1C1D1E"/>
          <w:sz w:val="24"/>
          <w:szCs w:val="24"/>
          <w:shd w:val="clear" w:color="auto" w:fill="FFFFFF"/>
        </w:rPr>
        <w:t xml:space="preserve">In this study, a novel design of microstructure ring‐based triangular mold photonic crystal </w:t>
      </w:r>
      <w:proofErr w:type="spellStart"/>
      <w:r w:rsidRPr="00D7389B">
        <w:rPr>
          <w:rFonts w:ascii="Times New Roman" w:hAnsi="Times New Roman" w:cs="Times New Roman"/>
          <w:color w:val="1C1D1E"/>
          <w:sz w:val="24"/>
          <w:szCs w:val="24"/>
          <w:shd w:val="clear" w:color="auto" w:fill="FFFFFF"/>
        </w:rPr>
        <w:t>fibre</w:t>
      </w:r>
      <w:proofErr w:type="spellEnd"/>
      <w:r w:rsidRPr="00D7389B">
        <w:rPr>
          <w:rFonts w:ascii="Times New Roman" w:hAnsi="Times New Roman" w:cs="Times New Roman"/>
          <w:color w:val="1C1D1E"/>
          <w:sz w:val="24"/>
          <w:szCs w:val="24"/>
          <w:shd w:val="clear" w:color="auto" w:fill="FFFFFF"/>
        </w:rPr>
        <w:t xml:space="preserve"> has been numerically investigated and introduced as an alcohol sensor in Terahertz (THz) band region to get a very high relative‐sensitivity and negligible confinement‐loss profile. Perfectly Matched Layer contains circular air holes with a semi‐poly crystalline symmetric core structure in the triangular cladding region. The entire evaluation process is done by analyzing 2,888,310 mesh elements with the finite element method. Also, the proposed model is justified for an operating frequency of the THz band gap between 1.4 THz and 3.5 THz along with a base material of TOPAS. Last of all, the relative sensitivity profiles of the proposed model are 79.39%, 79.99%, and 80.27% respectively to the water, ethanol, </w:t>
      </w:r>
      <w:proofErr w:type="gramStart"/>
      <w:r w:rsidRPr="00D7389B">
        <w:rPr>
          <w:rFonts w:ascii="Times New Roman" w:hAnsi="Times New Roman" w:cs="Times New Roman"/>
          <w:color w:val="1C1D1E"/>
          <w:sz w:val="24"/>
          <w:szCs w:val="24"/>
          <w:shd w:val="clear" w:color="auto" w:fill="FFFFFF"/>
        </w:rPr>
        <w:t>benzene</w:t>
      </w:r>
      <w:proofErr w:type="gramEnd"/>
      <w:r w:rsidRPr="00D7389B">
        <w:rPr>
          <w:rFonts w:ascii="Times New Roman" w:hAnsi="Times New Roman" w:cs="Times New Roman"/>
          <w:color w:val="1C1D1E"/>
          <w:sz w:val="24"/>
          <w:szCs w:val="24"/>
          <w:shd w:val="clear" w:color="auto" w:fill="FFFFFF"/>
        </w:rPr>
        <w:t xml:space="preserve"> at an optimum frequency of 1.5 THz. In fact, the most optimum performance indicators are 1.18 × 10</w:t>
      </w:r>
      <w:r w:rsidRPr="00D7389B">
        <w:rPr>
          <w:rFonts w:ascii="Times New Roman" w:hAnsi="Times New Roman" w:cs="Times New Roman"/>
          <w:color w:val="1C1D1E"/>
          <w:sz w:val="24"/>
          <w:szCs w:val="24"/>
          <w:shd w:val="clear" w:color="auto" w:fill="FFFFFF"/>
          <w:vertAlign w:val="superscript"/>
        </w:rPr>
        <w:t>−12</w:t>
      </w:r>
      <w:r w:rsidRPr="00D7389B">
        <w:rPr>
          <w:rFonts w:ascii="Times New Roman" w:hAnsi="Times New Roman" w:cs="Times New Roman"/>
          <w:color w:val="1C1D1E"/>
          <w:sz w:val="24"/>
          <w:szCs w:val="24"/>
          <w:shd w:val="clear" w:color="auto" w:fill="FFFFFF"/>
        </w:rPr>
        <w:t> dB/m, 1.8 × 10</w:t>
      </w:r>
      <w:r w:rsidRPr="00D7389B">
        <w:rPr>
          <w:rFonts w:ascii="Times New Roman" w:hAnsi="Times New Roman" w:cs="Times New Roman"/>
          <w:color w:val="1C1D1E"/>
          <w:sz w:val="24"/>
          <w:szCs w:val="24"/>
          <w:shd w:val="clear" w:color="auto" w:fill="FFFFFF"/>
          <w:vertAlign w:val="superscript"/>
        </w:rPr>
        <w:t>−5</w:t>
      </w:r>
      <w:r w:rsidRPr="00D7389B">
        <w:rPr>
          <w:rFonts w:ascii="Times New Roman" w:hAnsi="Times New Roman" w:cs="Times New Roman"/>
          <w:color w:val="1C1D1E"/>
          <w:sz w:val="24"/>
          <w:szCs w:val="24"/>
          <w:shd w:val="clear" w:color="auto" w:fill="FFFFFF"/>
        </w:rPr>
        <w:t> µm</w:t>
      </w:r>
      <w:r w:rsidRPr="00D7389B">
        <w:rPr>
          <w:rFonts w:ascii="Times New Roman" w:hAnsi="Times New Roman" w:cs="Times New Roman"/>
          <w:color w:val="1C1D1E"/>
          <w:sz w:val="24"/>
          <w:szCs w:val="24"/>
          <w:shd w:val="clear" w:color="auto" w:fill="FFFFFF"/>
          <w:vertAlign w:val="superscript"/>
        </w:rPr>
        <w:t>2</w:t>
      </w:r>
      <w:r w:rsidRPr="00D7389B">
        <w:rPr>
          <w:rFonts w:ascii="Times New Roman" w:hAnsi="Times New Roman" w:cs="Times New Roman"/>
          <w:color w:val="1C1D1E"/>
          <w:sz w:val="24"/>
          <w:szCs w:val="24"/>
          <w:shd w:val="clear" w:color="auto" w:fill="FFFFFF"/>
        </w:rPr>
        <w:t xml:space="preserve">, 80%, 0.1 </w:t>
      </w:r>
      <w:proofErr w:type="spellStart"/>
      <w:r w:rsidRPr="00D7389B">
        <w:rPr>
          <w:rFonts w:ascii="Times New Roman" w:hAnsi="Times New Roman" w:cs="Times New Roman"/>
          <w:color w:val="1C1D1E"/>
          <w:sz w:val="24"/>
          <w:szCs w:val="24"/>
          <w:shd w:val="clear" w:color="auto" w:fill="FFFFFF"/>
        </w:rPr>
        <w:t>ps</w:t>
      </w:r>
      <w:proofErr w:type="spellEnd"/>
      <w:r w:rsidRPr="00D7389B">
        <w:rPr>
          <w:rFonts w:ascii="Times New Roman" w:hAnsi="Times New Roman" w:cs="Times New Roman"/>
          <w:color w:val="1C1D1E"/>
          <w:sz w:val="24"/>
          <w:szCs w:val="24"/>
          <w:shd w:val="clear" w:color="auto" w:fill="FFFFFF"/>
        </w:rPr>
        <w:t>/THz/cm and 0.1‐1.5 respectively to the confinement‐loss (</w:t>
      </w:r>
      <w:proofErr w:type="spellStart"/>
      <w:r w:rsidRPr="00D7389B">
        <w:rPr>
          <w:rFonts w:ascii="Times New Roman" w:hAnsi="Times New Roman" w:cs="Times New Roman"/>
          <w:color w:val="1C1D1E"/>
          <w:sz w:val="24"/>
          <w:szCs w:val="24"/>
          <w:shd w:val="clear" w:color="auto" w:fill="FFFFFF"/>
        </w:rPr>
        <w:t>L</w:t>
      </w:r>
      <w:r w:rsidRPr="00D7389B">
        <w:rPr>
          <w:rFonts w:ascii="Times New Roman" w:hAnsi="Times New Roman" w:cs="Times New Roman"/>
          <w:color w:val="1C1D1E"/>
          <w:sz w:val="24"/>
          <w:szCs w:val="24"/>
          <w:shd w:val="clear" w:color="auto" w:fill="FFFFFF"/>
          <w:vertAlign w:val="subscript"/>
        </w:rPr>
        <w:t>c</w:t>
      </w:r>
      <w:proofErr w:type="spellEnd"/>
      <w:r w:rsidRPr="00D7389B">
        <w:rPr>
          <w:rFonts w:ascii="Times New Roman" w:hAnsi="Times New Roman" w:cs="Times New Roman"/>
          <w:color w:val="1C1D1E"/>
          <w:sz w:val="24"/>
          <w:szCs w:val="24"/>
          <w:shd w:val="clear" w:color="auto" w:fill="FFFFFF"/>
        </w:rPr>
        <w:t>), effective area (</w:t>
      </w:r>
      <w:proofErr w:type="spellStart"/>
      <w:r w:rsidRPr="00D7389B">
        <w:rPr>
          <w:rFonts w:ascii="Times New Roman" w:hAnsi="Times New Roman" w:cs="Times New Roman"/>
          <w:color w:val="1C1D1E"/>
          <w:sz w:val="24"/>
          <w:szCs w:val="24"/>
          <w:shd w:val="clear" w:color="auto" w:fill="FFFFFF"/>
        </w:rPr>
        <w:t>A</w:t>
      </w:r>
      <w:r w:rsidRPr="00D7389B">
        <w:rPr>
          <w:rFonts w:ascii="Times New Roman" w:hAnsi="Times New Roman" w:cs="Times New Roman"/>
          <w:color w:val="1C1D1E"/>
          <w:sz w:val="24"/>
          <w:szCs w:val="24"/>
          <w:shd w:val="clear" w:color="auto" w:fill="FFFFFF"/>
          <w:vertAlign w:val="subscript"/>
        </w:rPr>
        <w:t>eff</w:t>
      </w:r>
      <w:proofErr w:type="spellEnd"/>
      <w:r w:rsidRPr="00D7389B">
        <w:rPr>
          <w:rFonts w:ascii="Times New Roman" w:hAnsi="Times New Roman" w:cs="Times New Roman"/>
          <w:color w:val="1C1D1E"/>
          <w:sz w:val="24"/>
          <w:szCs w:val="24"/>
          <w:shd w:val="clear" w:color="auto" w:fill="FFFFFF"/>
        </w:rPr>
        <w:t>), power fraction (η′), dispersion (β</w:t>
      </w:r>
      <w:r w:rsidRPr="00D7389B">
        <w:rPr>
          <w:rFonts w:ascii="Times New Roman" w:hAnsi="Times New Roman" w:cs="Times New Roman"/>
          <w:color w:val="1C1D1E"/>
          <w:sz w:val="24"/>
          <w:szCs w:val="24"/>
          <w:shd w:val="clear" w:color="auto" w:fill="FFFFFF"/>
          <w:vertAlign w:val="subscript"/>
        </w:rPr>
        <w:t>2</w:t>
      </w:r>
      <w:r w:rsidRPr="00D7389B">
        <w:rPr>
          <w:rFonts w:ascii="Times New Roman" w:hAnsi="Times New Roman" w:cs="Times New Roman"/>
          <w:color w:val="1C1D1E"/>
          <w:sz w:val="24"/>
          <w:szCs w:val="24"/>
          <w:shd w:val="clear" w:color="auto" w:fill="FFFFFF"/>
        </w:rPr>
        <w:t>) and V‐Parameter (</w:t>
      </w:r>
      <w:proofErr w:type="spellStart"/>
      <w:r w:rsidRPr="00D7389B">
        <w:rPr>
          <w:rFonts w:ascii="Times New Roman" w:hAnsi="Times New Roman" w:cs="Times New Roman"/>
          <w:color w:val="1C1D1E"/>
          <w:sz w:val="24"/>
          <w:szCs w:val="24"/>
          <w:shd w:val="clear" w:color="auto" w:fill="FFFFFF"/>
        </w:rPr>
        <w:t>V</w:t>
      </w:r>
      <w:r w:rsidRPr="00D7389B">
        <w:rPr>
          <w:rFonts w:ascii="Times New Roman" w:hAnsi="Times New Roman" w:cs="Times New Roman"/>
          <w:color w:val="1C1D1E"/>
          <w:sz w:val="24"/>
          <w:szCs w:val="24"/>
          <w:shd w:val="clear" w:color="auto" w:fill="FFFFFF"/>
          <w:vertAlign w:val="subscript"/>
        </w:rPr>
        <w:t>eff</w:t>
      </w:r>
      <w:proofErr w:type="spellEnd"/>
      <w:r w:rsidRPr="00D7389B">
        <w:rPr>
          <w:rFonts w:ascii="Times New Roman" w:hAnsi="Times New Roman" w:cs="Times New Roman"/>
          <w:color w:val="1C1D1E"/>
          <w:sz w:val="24"/>
          <w:szCs w:val="24"/>
          <w:shd w:val="clear" w:color="auto" w:fill="FFFFFF"/>
        </w:rPr>
        <w:t>) at the following optimum frequency for the proposed structure. By evaluating these performance profiles, the proposed model can prove itself a better choice than any other prior model in the field of sensing.</w:t>
      </w:r>
    </w:p>
    <w:p w:rsidR="00393ED2" w:rsidRPr="00D7389B" w:rsidRDefault="00393ED2" w:rsidP="00D7389B">
      <w:pPr>
        <w:spacing w:before="150" w:after="150" w:line="240" w:lineRule="auto"/>
        <w:jc w:val="both"/>
        <w:rPr>
          <w:rFonts w:ascii="Times New Roman" w:eastAsia="Times New Roman" w:hAnsi="Times New Roman" w:cs="Times New Roman"/>
          <w:b/>
          <w:color w:val="4C4C4C"/>
          <w:sz w:val="24"/>
          <w:szCs w:val="24"/>
        </w:rPr>
      </w:pPr>
    </w:p>
    <w:p w:rsidR="001C5DE9" w:rsidRPr="00D7389B" w:rsidRDefault="001C5DE9" w:rsidP="00D7389B">
      <w:pPr>
        <w:spacing w:before="150" w:after="150" w:line="240" w:lineRule="auto"/>
        <w:jc w:val="both"/>
        <w:rPr>
          <w:rFonts w:ascii="Times New Roman" w:hAnsi="Times New Roman" w:cs="Times New Roman"/>
          <w:b/>
          <w:bCs/>
          <w:color w:val="4C4C4C"/>
          <w:sz w:val="24"/>
          <w:szCs w:val="24"/>
          <w:shd w:val="clear" w:color="auto" w:fill="FFFFFF"/>
        </w:rPr>
      </w:pPr>
      <w:r w:rsidRPr="00D7389B">
        <w:rPr>
          <w:rFonts w:ascii="Times New Roman" w:hAnsi="Times New Roman" w:cs="Times New Roman"/>
          <w:b/>
          <w:bCs/>
          <w:color w:val="4C4C4C"/>
          <w:sz w:val="24"/>
          <w:szCs w:val="24"/>
          <w:shd w:val="clear" w:color="auto" w:fill="FFFFFF"/>
        </w:rPr>
        <w:t>Conference / Journal Link:</w:t>
      </w:r>
    </w:p>
    <w:p w:rsidR="00393ED2" w:rsidRPr="00D7389B" w:rsidRDefault="00393ED2" w:rsidP="00D7389B">
      <w:pPr>
        <w:spacing w:before="150"/>
        <w:jc w:val="both"/>
        <w:rPr>
          <w:rFonts w:ascii="Times New Roman" w:hAnsi="Times New Roman" w:cs="Times New Roman"/>
          <w:color w:val="2E74B5" w:themeColor="accent1" w:themeShade="BF"/>
          <w:sz w:val="24"/>
          <w:szCs w:val="24"/>
        </w:rPr>
      </w:pPr>
      <w:hyperlink r:id="rId9" w:history="1">
        <w:r w:rsidRPr="00D7389B">
          <w:rPr>
            <w:rStyle w:val="Hyperlink"/>
            <w:rFonts w:ascii="Times New Roman" w:hAnsi="Times New Roman" w:cs="Times New Roman"/>
            <w:color w:val="034990" w:themeColor="hyperlink" w:themeShade="BF"/>
            <w:sz w:val="24"/>
            <w:szCs w:val="24"/>
            <w:u w:val="none"/>
          </w:rPr>
          <w:t>https://ietresearch.onlinelibrary.wiley.com/doi/full/10.1049/ote2.12006</w:t>
        </w:r>
      </w:hyperlink>
    </w:p>
    <w:p w:rsidR="00393ED2" w:rsidRPr="00D7389B" w:rsidRDefault="00393ED2" w:rsidP="00D7389B">
      <w:pPr>
        <w:spacing w:before="150" w:after="150" w:line="240" w:lineRule="auto"/>
        <w:jc w:val="both"/>
        <w:rPr>
          <w:rFonts w:ascii="Times New Roman" w:hAnsi="Times New Roman" w:cs="Times New Roman"/>
          <w:b/>
          <w:bCs/>
          <w:color w:val="4C4C4C"/>
          <w:sz w:val="24"/>
          <w:szCs w:val="24"/>
          <w:shd w:val="clear" w:color="auto" w:fill="FFFFFF"/>
        </w:rPr>
      </w:pPr>
    </w:p>
    <w:p w:rsidR="001C5DE9" w:rsidRPr="00D7389B" w:rsidRDefault="001C5DE9" w:rsidP="00D7389B">
      <w:pPr>
        <w:spacing w:before="150"/>
        <w:jc w:val="both"/>
        <w:rPr>
          <w:rFonts w:ascii="Times New Roman" w:hAnsi="Times New Roman" w:cs="Times New Roman"/>
          <w:b/>
          <w:color w:val="4C4C4C"/>
          <w:sz w:val="24"/>
          <w:szCs w:val="24"/>
        </w:rPr>
      </w:pPr>
      <w:r w:rsidRPr="00D7389B">
        <w:rPr>
          <w:rFonts w:ascii="Times New Roman" w:hAnsi="Times New Roman" w:cs="Times New Roman"/>
          <w:b/>
          <w:color w:val="4C4C4C"/>
          <w:sz w:val="24"/>
          <w:szCs w:val="24"/>
        </w:rPr>
        <w:t>DOI:</w:t>
      </w:r>
    </w:p>
    <w:p w:rsidR="00393ED2" w:rsidRPr="00D7389B" w:rsidRDefault="00393ED2" w:rsidP="00D7389B">
      <w:pPr>
        <w:jc w:val="both"/>
        <w:rPr>
          <w:rFonts w:ascii="Times New Roman" w:hAnsi="Times New Roman" w:cs="Times New Roman"/>
          <w:color w:val="2E74B5" w:themeColor="accent1" w:themeShade="BF"/>
          <w:sz w:val="24"/>
          <w:szCs w:val="24"/>
        </w:rPr>
      </w:pPr>
      <w:hyperlink r:id="rId10" w:history="1">
        <w:r w:rsidRPr="00D7389B">
          <w:rPr>
            <w:rStyle w:val="Hyperlink"/>
            <w:rFonts w:ascii="Times New Roman" w:hAnsi="Times New Roman" w:cs="Times New Roman"/>
            <w:bCs/>
            <w:color w:val="2E74B5" w:themeColor="accent1" w:themeShade="BF"/>
            <w:sz w:val="24"/>
            <w:szCs w:val="24"/>
            <w:u w:val="none"/>
          </w:rPr>
          <w:t>https://doi.org/10.1049/ote2.12006</w:t>
        </w:r>
      </w:hyperlink>
    </w:p>
    <w:p w:rsidR="00393ED2" w:rsidRPr="00D7389B" w:rsidRDefault="00393ED2" w:rsidP="00D7389B">
      <w:pPr>
        <w:spacing w:before="150"/>
        <w:jc w:val="both"/>
        <w:rPr>
          <w:rFonts w:ascii="Times New Roman" w:hAnsi="Times New Roman" w:cs="Times New Roman"/>
          <w:b/>
          <w:color w:val="4C4C4C"/>
          <w:sz w:val="24"/>
          <w:szCs w:val="24"/>
        </w:rPr>
      </w:pPr>
    </w:p>
    <w:p w:rsidR="00D0008B" w:rsidRPr="00D7389B" w:rsidRDefault="00D0008B" w:rsidP="00D7389B">
      <w:pPr>
        <w:jc w:val="both"/>
        <w:rPr>
          <w:rFonts w:ascii="Times New Roman" w:hAnsi="Times New Roman" w:cs="Times New Roman"/>
          <w:sz w:val="24"/>
          <w:szCs w:val="24"/>
        </w:rPr>
      </w:pPr>
    </w:p>
    <w:p w:rsidR="00D7389B" w:rsidRPr="00D7389B" w:rsidRDefault="00D7389B">
      <w:pPr>
        <w:jc w:val="both"/>
        <w:rPr>
          <w:rFonts w:ascii="Times New Roman" w:hAnsi="Times New Roman" w:cs="Times New Roman"/>
          <w:sz w:val="24"/>
          <w:szCs w:val="24"/>
        </w:rPr>
      </w:pPr>
    </w:p>
    <w:sectPr w:rsidR="00D7389B" w:rsidRPr="00D73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93ED2"/>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855D2"/>
    <w:rsid w:val="00AA75A4"/>
    <w:rsid w:val="00B86303"/>
    <w:rsid w:val="00B930C5"/>
    <w:rsid w:val="00BA5F16"/>
    <w:rsid w:val="00BB33BF"/>
    <w:rsid w:val="00BD4B8D"/>
    <w:rsid w:val="00BE3412"/>
    <w:rsid w:val="00C02829"/>
    <w:rsid w:val="00C14054"/>
    <w:rsid w:val="00C2427E"/>
    <w:rsid w:val="00C36ECE"/>
    <w:rsid w:val="00C44F43"/>
    <w:rsid w:val="00CA08FE"/>
    <w:rsid w:val="00CC3683"/>
    <w:rsid w:val="00CD2380"/>
    <w:rsid w:val="00CF649C"/>
    <w:rsid w:val="00D0008B"/>
    <w:rsid w:val="00D46E89"/>
    <w:rsid w:val="00D7389B"/>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accordion-tabbedtab-mobile">
    <w:name w:val="accordion-tabbed__tab-mobile"/>
    <w:basedOn w:val="DefaultParagraphFont"/>
    <w:rsid w:val="00393ED2"/>
  </w:style>
  <w:style w:type="character" w:customStyle="1" w:styleId="comma-separator">
    <w:name w:val="comma-separator"/>
    <w:basedOn w:val="DefaultParagraphFont"/>
    <w:rsid w:val="0039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095398372">
      <w:bodyDiv w:val="1"/>
      <w:marLeft w:val="0"/>
      <w:marRight w:val="0"/>
      <w:marTop w:val="0"/>
      <w:marBottom w:val="0"/>
      <w:divBdr>
        <w:top w:val="none" w:sz="0" w:space="0" w:color="auto"/>
        <w:left w:val="none" w:sz="0" w:space="0" w:color="auto"/>
        <w:bottom w:val="none" w:sz="0" w:space="0" w:color="auto"/>
        <w:right w:val="none" w:sz="0" w:space="0" w:color="auto"/>
      </w:divBdr>
    </w:div>
    <w:div w:id="1398629360">
      <w:bodyDiv w:val="1"/>
      <w:marLeft w:val="0"/>
      <w:marRight w:val="0"/>
      <w:marTop w:val="0"/>
      <w:marBottom w:val="0"/>
      <w:divBdr>
        <w:top w:val="none" w:sz="0" w:space="0" w:color="auto"/>
        <w:left w:val="none" w:sz="0" w:space="0" w:color="auto"/>
        <w:bottom w:val="none" w:sz="0" w:space="0" w:color="auto"/>
        <w:right w:val="none" w:sz="0" w:space="0" w:color="auto"/>
      </w:divBdr>
      <w:divsChild>
        <w:div w:id="586809760">
          <w:marLeft w:val="0"/>
          <w:marRight w:val="0"/>
          <w:marTop w:val="0"/>
          <w:marBottom w:val="0"/>
          <w:divBdr>
            <w:top w:val="none" w:sz="0" w:space="0" w:color="auto"/>
            <w:left w:val="none" w:sz="0" w:space="0" w:color="auto"/>
            <w:bottom w:val="none" w:sz="0" w:space="0" w:color="auto"/>
            <w:right w:val="none" w:sz="0" w:space="0" w:color="auto"/>
          </w:divBdr>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tresearch.onlinelibrary.wiley.com/action/doSearch?ContribAuthorRaw=Uddin%2C+Muhammad+Shahin" TargetMode="External"/><Relationship Id="rId3" Type="http://schemas.openxmlformats.org/officeDocument/2006/relationships/webSettings" Target="webSettings.xml"/><Relationship Id="rId7" Type="http://schemas.openxmlformats.org/officeDocument/2006/relationships/hyperlink" Target="https://ietresearch.onlinelibrary.wiley.com/action/doSearch?ContribAuthorRaw=Jabin%2C+Md+Asaduzzama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tresearch.onlinelibrary.wiley.com/action/doSearch?ContribAuthorRaw=Ahmed%2C+Fahad" TargetMode="External"/><Relationship Id="rId11" Type="http://schemas.openxmlformats.org/officeDocument/2006/relationships/fontTable" Target="fontTable.xml"/><Relationship Id="rId5" Type="http://schemas.openxmlformats.org/officeDocument/2006/relationships/hyperlink" Target="https://ietresearch.onlinelibrary.wiley.com/action/doSearch?ContribAuthorRaw=Paul%2C+Bikash+Kumar" TargetMode="External"/><Relationship Id="rId10" Type="http://schemas.openxmlformats.org/officeDocument/2006/relationships/hyperlink" Target="https://doi.org/10.1049/ote2.12006" TargetMode="External"/><Relationship Id="rId4" Type="http://schemas.openxmlformats.org/officeDocument/2006/relationships/hyperlink" Target="https://ietresearch.onlinelibrary.wiley.com/action/doSearch?ContribAuthorRaw=Ahmed%2C+Kawsar" TargetMode="External"/><Relationship Id="rId9" Type="http://schemas.openxmlformats.org/officeDocument/2006/relationships/hyperlink" Target="https://ietresearch.onlinelibrary.wiley.com/doi/full/10.1049/ote2.1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2022-04-17T03:31:00Z</dcterms:created>
  <dcterms:modified xsi:type="dcterms:W3CDTF">2022-04-19T04:50:00Z</dcterms:modified>
</cp:coreProperties>
</file>