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650" w:rsidRPr="007844AD" w:rsidRDefault="00383133" w:rsidP="007844AD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383133">
        <w:rPr>
          <w:rFonts w:ascii="Times New Roman" w:hAnsi="Times New Roman" w:cs="Times New Roman"/>
          <w:sz w:val="40"/>
          <w:szCs w:val="40"/>
        </w:rPr>
        <w:t xml:space="preserve">The Inhibition of SARS-CoV-2 and the Modulation of Inflammatory Responses by the Extract of Lactobacillus </w:t>
      </w:r>
      <w:proofErr w:type="spellStart"/>
      <w:r w:rsidRPr="00383133">
        <w:rPr>
          <w:rFonts w:ascii="Times New Roman" w:hAnsi="Times New Roman" w:cs="Times New Roman"/>
          <w:sz w:val="40"/>
          <w:szCs w:val="40"/>
        </w:rPr>
        <w:t>sakei</w:t>
      </w:r>
      <w:proofErr w:type="spellEnd"/>
      <w:r w:rsidRPr="00383133">
        <w:rPr>
          <w:rFonts w:ascii="Times New Roman" w:hAnsi="Times New Roman" w:cs="Times New Roman"/>
          <w:sz w:val="40"/>
          <w:szCs w:val="40"/>
        </w:rPr>
        <w:t xml:space="preserve"> Probio65</w:t>
      </w:r>
      <w:r w:rsidR="001D2C45">
        <w:rPr>
          <w:rFonts w:ascii="Times New Roman" w:hAnsi="Times New Roman" w:cs="Times New Roman"/>
          <w:sz w:val="40"/>
          <w:szCs w:val="40"/>
        </w:rPr>
        <w:t xml:space="preserve"> </w:t>
      </w:r>
    </w:p>
    <w:p w:rsidR="002F7650" w:rsidRPr="005A5F38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</w:p>
    <w:p w:rsidR="00383133" w:rsidRPr="00383133" w:rsidRDefault="00383133" w:rsidP="00383133">
      <w:pPr>
        <w:spacing w:after="0" w:line="240" w:lineRule="auto"/>
        <w:ind w:right="45"/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</w:pPr>
      <w:hyperlink r:id="rId4" w:tgtFrame="_blank" w:history="1"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Irfan</w:t>
        </w:r>
        <w:proofErr w:type="spellEnd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A. Rather</w:t>
        </w:r>
      </w:hyperlink>
      <w:r w:rsidRPr="005A5F38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5" w:tgtFrame="_blank" w:history="1"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Lee-</w:t>
        </w:r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Ching</w:t>
        </w:r>
        <w:proofErr w:type="spellEnd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Lew</w:t>
        </w:r>
      </w:hyperlink>
      <w:r w:rsidRPr="005A5F38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6" w:tgtFrame="_blank" w:history="1"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Majid </w:t>
        </w:r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Rasool</w:t>
        </w:r>
        <w:proofErr w:type="spellEnd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Kamli</w:t>
        </w:r>
        <w:proofErr w:type="spellEnd"/>
      </w:hyperlink>
      <w:r w:rsidRPr="005A5F38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7" w:tgtFrame="_blank" w:history="1"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Khalid </w:t>
        </w:r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Rehman</w:t>
        </w:r>
        <w:proofErr w:type="spellEnd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Hakeem</w:t>
        </w:r>
      </w:hyperlink>
      <w:r w:rsidRPr="005A5F38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8" w:tgtFrame="_blank" w:history="1"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Jamal S. M. </w:t>
        </w:r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Sabir</w:t>
        </w:r>
        <w:proofErr w:type="spellEnd"/>
      </w:hyperlink>
      <w:r w:rsidRPr="005A5F38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9" w:tgtFrame="_blank" w:history="1"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Yong-Ha Park</w:t>
        </w:r>
      </w:hyperlink>
      <w:r w:rsidRPr="005A5F38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0" w:tgtFrame="_blank" w:history="1"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Yan-Yan </w:t>
        </w:r>
        <w:proofErr w:type="spellStart"/>
        <w:r w:rsidRPr="005A5F38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Hor</w:t>
        </w:r>
        <w:proofErr w:type="spellEnd"/>
      </w:hyperlink>
    </w:p>
    <w:p w:rsidR="00383133" w:rsidRPr="005A5F38" w:rsidRDefault="00383133" w:rsidP="0038313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A5F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 </w:t>
      </w:r>
    </w:p>
    <w:p w:rsidR="002F7650" w:rsidRPr="005A5F38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A5F38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383133" w:rsidRPr="005A5F38" w:rsidRDefault="00383133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three years since the first outbreak of COVID-19 in 2019, the SARS-CoV-2 virus has continued to be prevalent in our community. It is believed that the virus will remain present, and be transmitted at a predictable rate, turning endemic. A major challenge that leads to this is the constant yet rapid mutation of the virus, which has rendered vaccination and current treatments less effective. In this study, </w:t>
      </w:r>
      <w:r w:rsidR="007A7D25"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</w:t>
      </w:r>
      <w:r w:rsidR="007A7D25" w:rsidRPr="005A5F38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ctobacillus</w:t>
      </w:r>
      <w:r w:rsidRPr="005A5F38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sake</w:t>
      </w:r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Probio65 extract (P65-CFS) was tested for its safety and efficacy in inhibiting SARS-CoV-2 replication. Viral load quantification by RT-PCR showed that the P65-CFS inhibited SARS-CoV-2 replication in human embryonic kidney (HEK) 293 cells in a dose-dependent manner, with 150 mg/mL being the most effective concentration (60.16% replication inhibition)  &lt; 0.05). No cytotoxicity was inflicted on the HEK 293 cells, human corneal epithelial (HCE) cells, or human cervical (</w:t>
      </w:r>
      <w:proofErr w:type="spellStart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HeLa</w:t>
      </w:r>
      <w:proofErr w:type="spellEnd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cells, as confirmed by the 3-(4</w:t>
      </w:r>
      <w:proofErr w:type="gramStart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,5</w:t>
      </w:r>
      <w:proofErr w:type="gramEnd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-dimethylthiazol-2-yl)-2,5-diphenyl-2H-tetrazolium bromide (MTT) assay. The P65-CFS (150 mg/mL) also reduced 83.40% of reactive oxidizing species (ROS) and extracellular signal-regulated kinases (ERK) phosphorylation in virus-infected cells, both of which function as important biomarkers for the pathogenesis of SARS-CoV-2. Furthermore, inflammatory markers, including interferon-α (IFN-α), IFN-ß, and interleukin-6 (IL-6), were all </w:t>
      </w:r>
      <w:r w:rsidR="007A7D25"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down regulated</w:t>
      </w:r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P65-CFS in virus-infected cells as compared to the untreated control</w:t>
      </w:r>
      <w:proofErr w:type="gramStart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 &lt;</w:t>
      </w:r>
      <w:proofErr w:type="gramEnd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0.05). It was conclusively found </w:t>
      </w:r>
      <w:proofErr w:type="spellStart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</w:t>
      </w:r>
      <w:r w:rsidRPr="005A5F38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</w:t>
      </w:r>
      <w:proofErr w:type="spellEnd"/>
      <w:r w:rsidRPr="005A5F38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5A5F38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sake</w:t>
      </w:r>
      <w:proofErr w:type="gramEnd"/>
      <w:r w:rsidRPr="005A5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Probio65 showed notable therapeutic efficacy in vitro by controlling not only viral multiplication but also pathogenicity; this finding suggests its potential to prevent severe COVID-19 and shorten the duration of infectiousness, thus proving useful as an adjuvant along with the currently available treatments.</w:t>
      </w:r>
    </w:p>
    <w:p w:rsidR="002F7650" w:rsidRPr="005A5F38" w:rsidRDefault="001D2C45" w:rsidP="002F7650">
      <w:pPr>
        <w:jc w:val="both"/>
        <w:rPr>
          <w:rFonts w:ascii="Times New Roman" w:hAnsi="Times New Roman" w:cs="Times New Roman"/>
          <w:sz w:val="24"/>
          <w:szCs w:val="24"/>
        </w:rPr>
      </w:pPr>
      <w:r w:rsidRPr="005A5F38">
        <w:rPr>
          <w:rFonts w:ascii="Times New Roman" w:hAnsi="Times New Roman" w:cs="Times New Roman"/>
          <w:color w:val="282828"/>
          <w:sz w:val="24"/>
          <w:szCs w:val="24"/>
          <w:shd w:val="clear" w:color="auto" w:fill="F7F7F7"/>
        </w:rPr>
        <w:t xml:space="preserve"> </w:t>
      </w:r>
    </w:p>
    <w:p w:rsidR="002F7650" w:rsidRPr="005A5F38" w:rsidRDefault="002F7650" w:rsidP="002F76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5A5F3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383133" w:rsidRPr="005A5F38" w:rsidRDefault="00383133" w:rsidP="002F76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hyperlink r:id="rId11" w:tgtFrame="_blank" w:history="1">
        <w:r w:rsidRPr="005A5F38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  <w:shd w:val="clear" w:color="auto" w:fill="FFFFFF"/>
          </w:rPr>
          <w:t>https://www.mdpi.com/2076-393X/10/12/2106</w:t>
        </w:r>
      </w:hyperlink>
    </w:p>
    <w:p w:rsidR="005A5F38" w:rsidRPr="005A5F38" w:rsidRDefault="001D2C45" w:rsidP="005A5F3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cj_link"/>
      <w:r w:rsidRPr="005A5F3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12" w:tgtFrame="_blank" w:history="1"/>
      <w:bookmarkEnd w:id="0"/>
    </w:p>
    <w:p w:rsidR="002F7650" w:rsidRPr="005A5F38" w:rsidRDefault="002F7650" w:rsidP="005A5F3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5A5F38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5A5F38" w:rsidRPr="005A5F38" w:rsidRDefault="005A5F38" w:rsidP="002F7650">
      <w:pPr>
        <w:spacing w:before="15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hyperlink r:id="rId13" w:history="1">
        <w:r w:rsidRPr="005A5F38">
          <w:rPr>
            <w:rStyle w:val="Hyperlink"/>
            <w:rFonts w:ascii="Times New Roman" w:hAnsi="Times New Roman" w:cs="Times New Roman"/>
            <w:bCs/>
            <w:color w:val="0070C0"/>
            <w:sz w:val="24"/>
            <w:szCs w:val="24"/>
            <w:u w:val="none"/>
            <w:shd w:val="clear" w:color="auto" w:fill="FFFFFF"/>
          </w:rPr>
          <w:t>https://doi.org/10.3390/vaccines10122106</w:t>
        </w:r>
      </w:hyperlink>
    </w:p>
    <w:p w:rsidR="002F7650" w:rsidRPr="005A5F38" w:rsidRDefault="001D2C45" w:rsidP="002F7650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5A5F3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14" w:history="1"/>
    </w:p>
    <w:p w:rsidR="002F7650" w:rsidRPr="005A5F38" w:rsidRDefault="002F7650" w:rsidP="002F765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2F7650" w:rsidRPr="005A5F38" w:rsidRDefault="002F7650" w:rsidP="002F765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7650" w:rsidRPr="005A5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50"/>
    <w:rsid w:val="000230D0"/>
    <w:rsid w:val="00114319"/>
    <w:rsid w:val="001B138B"/>
    <w:rsid w:val="001C6FD6"/>
    <w:rsid w:val="001D2C45"/>
    <w:rsid w:val="00201A18"/>
    <w:rsid w:val="002F7650"/>
    <w:rsid w:val="00383133"/>
    <w:rsid w:val="005A5F38"/>
    <w:rsid w:val="006A06DE"/>
    <w:rsid w:val="006C3BD1"/>
    <w:rsid w:val="007844AD"/>
    <w:rsid w:val="007A7D25"/>
    <w:rsid w:val="00827A02"/>
    <w:rsid w:val="0095026E"/>
    <w:rsid w:val="009C7DA6"/>
    <w:rsid w:val="00E40174"/>
    <w:rsid w:val="00EA07CF"/>
    <w:rsid w:val="00EC0B7C"/>
    <w:rsid w:val="00F30337"/>
    <w:rsid w:val="00FC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B5028-3AD3-42A1-9134-0A2F0FE3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7650"/>
    <w:rPr>
      <w:color w:val="0000FF"/>
      <w:u w:val="single"/>
    </w:rPr>
  </w:style>
  <w:style w:type="character" w:customStyle="1" w:styleId="html-italic">
    <w:name w:val="html-italic"/>
    <w:basedOn w:val="DefaultParagraphFont"/>
    <w:rsid w:val="00383133"/>
  </w:style>
  <w:style w:type="character" w:customStyle="1" w:styleId="inlineblock">
    <w:name w:val="inlineblock"/>
    <w:basedOn w:val="DefaultParagraphFont"/>
    <w:rsid w:val="00383133"/>
  </w:style>
  <w:style w:type="character" w:customStyle="1" w:styleId="sciprofiles-linkname">
    <w:name w:val="sciprofiles-link__name"/>
    <w:basedOn w:val="DefaultParagraphFont"/>
    <w:rsid w:val="0038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8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profiles.com/profile/702028" TargetMode="External"/><Relationship Id="rId13" Type="http://schemas.openxmlformats.org/officeDocument/2006/relationships/hyperlink" Target="https://doi.org/10.3390/vaccines101221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iprofiles.com/profile/76220" TargetMode="External"/><Relationship Id="rId12" Type="http://schemas.openxmlformats.org/officeDocument/2006/relationships/hyperlink" Target="https://www.frontiersin.org/articles/10.3389/fnmol.2022.1036552/ful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ciprofiles.com/profile/994097" TargetMode="External"/><Relationship Id="rId11" Type="http://schemas.openxmlformats.org/officeDocument/2006/relationships/hyperlink" Target="https://www.mdpi.com/2076-393X/10/12/2106" TargetMode="External"/><Relationship Id="rId5" Type="http://schemas.openxmlformats.org/officeDocument/2006/relationships/hyperlink" Target="https://sciprofiles.com/profile/195157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ciprofiles.com/profile/1780860" TargetMode="External"/><Relationship Id="rId4" Type="http://schemas.openxmlformats.org/officeDocument/2006/relationships/hyperlink" Target="https://sciprofiles.com/profile/372246" TargetMode="External"/><Relationship Id="rId9" Type="http://schemas.openxmlformats.org/officeDocument/2006/relationships/hyperlink" Target="https://sciprofiles.com/profile/1780859" TargetMode="External"/><Relationship Id="rId14" Type="http://schemas.openxmlformats.org/officeDocument/2006/relationships/hyperlink" Target="https://doi.org/10.3389/fnmol.2022.10365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2023-03-04T04:58:00Z</dcterms:created>
  <dcterms:modified xsi:type="dcterms:W3CDTF">2023-03-05T03:57:00Z</dcterms:modified>
</cp:coreProperties>
</file>