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02AF" w:rsidRDefault="00283AF3">
      <w:r>
        <w:rPr>
          <w:rFonts w:ascii="Georgia" w:hAnsi="Georgia"/>
          <w:color w:val="333333"/>
          <w:spacing w:val="2"/>
          <w:sz w:val="26"/>
          <w:szCs w:val="26"/>
          <w:shd w:val="clear" w:color="auto" w:fill="FCFCFC"/>
        </w:rPr>
        <w:t xml:space="preserve">In this paper, we have studied the problem of two-dimensional transient convective flow and heat transfer in </w:t>
      </w:r>
      <w:proofErr w:type="spellStart"/>
      <w:r>
        <w:rPr>
          <w:rFonts w:ascii="Georgia" w:hAnsi="Georgia"/>
          <w:color w:val="333333"/>
          <w:spacing w:val="2"/>
          <w:sz w:val="26"/>
          <w:szCs w:val="26"/>
          <w:shd w:val="clear" w:color="auto" w:fill="FCFCFC"/>
        </w:rPr>
        <w:t>nanofluids</w:t>
      </w:r>
      <w:proofErr w:type="spellEnd"/>
      <w:r>
        <w:rPr>
          <w:rFonts w:ascii="Georgia" w:hAnsi="Georgia"/>
          <w:color w:val="333333"/>
          <w:spacing w:val="2"/>
          <w:sz w:val="26"/>
          <w:szCs w:val="26"/>
          <w:shd w:val="clear" w:color="auto" w:fill="FCFCFC"/>
        </w:rPr>
        <w:t xml:space="preserve"> in a quarter-circular-shaped enclosure using newly proposed </w:t>
      </w:r>
      <w:proofErr w:type="spellStart"/>
      <w:r>
        <w:rPr>
          <w:rFonts w:ascii="Georgia" w:hAnsi="Georgia"/>
          <w:color w:val="333333"/>
          <w:spacing w:val="2"/>
          <w:sz w:val="26"/>
          <w:szCs w:val="26"/>
          <w:shd w:val="clear" w:color="auto" w:fill="FCFCFC"/>
        </w:rPr>
        <w:t>nonhomogeneous</w:t>
      </w:r>
      <w:proofErr w:type="spellEnd"/>
      <w:r>
        <w:rPr>
          <w:rFonts w:ascii="Georgia" w:hAnsi="Georgia"/>
          <w:color w:val="333333"/>
          <w:spacing w:val="2"/>
          <w:sz w:val="26"/>
          <w:szCs w:val="26"/>
          <w:shd w:val="clear" w:color="auto" w:fill="FCFCFC"/>
        </w:rPr>
        <w:t xml:space="preserve"> dynamic mathematical model. The round wall of the enclosure is maintained at constant low temperature and the variable thermal condition on the bottom heated wall is considered, whereas the vertical wall is regarded as adiabatic. The enclosure is permeated by an inclined uniform magnetic field. The </w:t>
      </w:r>
      <w:proofErr w:type="spellStart"/>
      <w:r>
        <w:rPr>
          <w:rFonts w:ascii="Georgia" w:hAnsi="Georgia"/>
          <w:color w:val="333333"/>
          <w:spacing w:val="2"/>
          <w:sz w:val="26"/>
          <w:szCs w:val="26"/>
          <w:shd w:val="clear" w:color="auto" w:fill="FCFCFC"/>
        </w:rPr>
        <w:t>Galerkin</w:t>
      </w:r>
      <w:proofErr w:type="spellEnd"/>
      <w:r>
        <w:rPr>
          <w:rFonts w:ascii="Georgia" w:hAnsi="Georgia"/>
          <w:color w:val="333333"/>
          <w:spacing w:val="2"/>
          <w:sz w:val="26"/>
          <w:szCs w:val="26"/>
          <w:shd w:val="clear" w:color="auto" w:fill="FCFCFC"/>
        </w:rPr>
        <w:t xml:space="preserve"> weighted residual finite element method has been employed to solve the governing </w:t>
      </w:r>
      <w:proofErr w:type="spellStart"/>
      <w:r>
        <w:rPr>
          <w:rFonts w:ascii="Georgia" w:hAnsi="Georgia"/>
          <w:color w:val="333333"/>
          <w:spacing w:val="2"/>
          <w:sz w:val="26"/>
          <w:szCs w:val="26"/>
          <w:shd w:val="clear" w:color="auto" w:fill="FCFCFC"/>
        </w:rPr>
        <w:t>nondimensional</w:t>
      </w:r>
      <w:proofErr w:type="spellEnd"/>
      <w:r>
        <w:rPr>
          <w:rFonts w:ascii="Georgia" w:hAnsi="Georgia"/>
          <w:color w:val="333333"/>
          <w:spacing w:val="2"/>
          <w:sz w:val="26"/>
          <w:szCs w:val="26"/>
          <w:shd w:val="clear" w:color="auto" w:fill="FCFCFC"/>
        </w:rPr>
        <w:t xml:space="preserve"> partial differential equations. The result shows that 1- to 10-nm-sized </w:t>
      </w:r>
      <w:proofErr w:type="spellStart"/>
      <w:r>
        <w:rPr>
          <w:rFonts w:ascii="Georgia" w:hAnsi="Georgia"/>
          <w:color w:val="333333"/>
          <w:spacing w:val="2"/>
          <w:sz w:val="26"/>
          <w:szCs w:val="26"/>
          <w:shd w:val="clear" w:color="auto" w:fill="FCFCFC"/>
        </w:rPr>
        <w:t>nanoparticles</w:t>
      </w:r>
      <w:proofErr w:type="spellEnd"/>
      <w:r>
        <w:rPr>
          <w:rFonts w:ascii="Georgia" w:hAnsi="Georgia"/>
          <w:color w:val="333333"/>
          <w:spacing w:val="2"/>
          <w:sz w:val="26"/>
          <w:szCs w:val="26"/>
          <w:shd w:val="clear" w:color="auto" w:fill="FCFCFC"/>
        </w:rPr>
        <w:t xml:space="preserve"> are uniform and stable in the solution. The external magnetic field and its direction control the flow pattern of </w:t>
      </w:r>
      <w:proofErr w:type="spellStart"/>
      <w:r>
        <w:rPr>
          <w:rFonts w:ascii="Georgia" w:hAnsi="Georgia"/>
          <w:color w:val="333333"/>
          <w:spacing w:val="2"/>
          <w:sz w:val="26"/>
          <w:szCs w:val="26"/>
          <w:shd w:val="clear" w:color="auto" w:fill="FCFCFC"/>
        </w:rPr>
        <w:t>nanofluid</w:t>
      </w:r>
      <w:proofErr w:type="spellEnd"/>
      <w:r>
        <w:rPr>
          <w:rFonts w:ascii="Georgia" w:hAnsi="Georgia"/>
          <w:color w:val="333333"/>
          <w:spacing w:val="2"/>
          <w:sz w:val="26"/>
          <w:szCs w:val="26"/>
          <w:shd w:val="clear" w:color="auto" w:fill="FCFCFC"/>
        </w:rPr>
        <w:t xml:space="preserve"> significantly. The average </w:t>
      </w:r>
      <w:proofErr w:type="spellStart"/>
      <w:r>
        <w:rPr>
          <w:rFonts w:ascii="Georgia" w:hAnsi="Georgia"/>
          <w:color w:val="333333"/>
          <w:spacing w:val="2"/>
          <w:sz w:val="26"/>
          <w:szCs w:val="26"/>
          <w:shd w:val="clear" w:color="auto" w:fill="FCFCFC"/>
        </w:rPr>
        <w:t>Nusselt</w:t>
      </w:r>
      <w:proofErr w:type="spellEnd"/>
      <w:r>
        <w:rPr>
          <w:rFonts w:ascii="Georgia" w:hAnsi="Georgia"/>
          <w:color w:val="333333"/>
          <w:spacing w:val="2"/>
          <w:sz w:val="26"/>
          <w:szCs w:val="26"/>
          <w:shd w:val="clear" w:color="auto" w:fill="FCFCFC"/>
        </w:rPr>
        <w:t xml:space="preserve"> number increases significantly, as </w:t>
      </w:r>
      <w:proofErr w:type="spellStart"/>
      <w:r>
        <w:rPr>
          <w:rFonts w:ascii="Georgia" w:hAnsi="Georgia"/>
          <w:color w:val="333333"/>
          <w:spacing w:val="2"/>
          <w:sz w:val="26"/>
          <w:szCs w:val="26"/>
          <w:shd w:val="clear" w:color="auto" w:fill="FCFCFC"/>
        </w:rPr>
        <w:t>nanoparticle</w:t>
      </w:r>
      <w:proofErr w:type="spellEnd"/>
      <w:r>
        <w:rPr>
          <w:rFonts w:ascii="Georgia" w:hAnsi="Georgia"/>
          <w:color w:val="333333"/>
          <w:spacing w:val="2"/>
          <w:sz w:val="26"/>
          <w:szCs w:val="26"/>
          <w:shd w:val="clear" w:color="auto" w:fill="FCFCFC"/>
        </w:rPr>
        <w:t xml:space="preserve"> volume fraction, magnetic field inclination angle and Rayleigh number increase. Average </w:t>
      </w:r>
      <w:proofErr w:type="spellStart"/>
      <w:r>
        <w:rPr>
          <w:rFonts w:ascii="Georgia" w:hAnsi="Georgia"/>
          <w:color w:val="333333"/>
          <w:spacing w:val="2"/>
          <w:sz w:val="26"/>
          <w:szCs w:val="26"/>
          <w:shd w:val="clear" w:color="auto" w:fill="FCFCFC"/>
        </w:rPr>
        <w:t>Nusselt</w:t>
      </w:r>
      <w:proofErr w:type="spellEnd"/>
      <w:r>
        <w:rPr>
          <w:rFonts w:ascii="Georgia" w:hAnsi="Georgia"/>
          <w:color w:val="333333"/>
          <w:spacing w:val="2"/>
          <w:sz w:val="26"/>
          <w:szCs w:val="26"/>
          <w:shd w:val="clear" w:color="auto" w:fill="FCFCFC"/>
        </w:rPr>
        <w:t xml:space="preserve"> number of cobalt–kerosene </w:t>
      </w:r>
      <w:proofErr w:type="spellStart"/>
      <w:r>
        <w:rPr>
          <w:rFonts w:ascii="Georgia" w:hAnsi="Georgia"/>
          <w:color w:val="333333"/>
          <w:spacing w:val="2"/>
          <w:sz w:val="26"/>
          <w:szCs w:val="26"/>
          <w:shd w:val="clear" w:color="auto" w:fill="FCFCFC"/>
        </w:rPr>
        <w:t>nanofluid</w:t>
      </w:r>
      <w:proofErr w:type="spellEnd"/>
      <w:r>
        <w:rPr>
          <w:rFonts w:ascii="Georgia" w:hAnsi="Georgia"/>
          <w:color w:val="333333"/>
          <w:spacing w:val="2"/>
          <w:sz w:val="26"/>
          <w:szCs w:val="26"/>
          <w:shd w:val="clear" w:color="auto" w:fill="FCFCFC"/>
        </w:rPr>
        <w:t xml:space="preserve"> is much higher than other 17 types of </w:t>
      </w:r>
      <w:proofErr w:type="spellStart"/>
      <w:r>
        <w:rPr>
          <w:rFonts w:ascii="Georgia" w:hAnsi="Georgia"/>
          <w:color w:val="333333"/>
          <w:spacing w:val="2"/>
          <w:sz w:val="26"/>
          <w:szCs w:val="26"/>
          <w:shd w:val="clear" w:color="auto" w:fill="FCFCFC"/>
        </w:rPr>
        <w:t>nanofluids</w:t>
      </w:r>
      <w:proofErr w:type="spellEnd"/>
      <w:r>
        <w:rPr>
          <w:rFonts w:ascii="Georgia" w:hAnsi="Georgia"/>
          <w:color w:val="333333"/>
          <w:spacing w:val="2"/>
          <w:sz w:val="26"/>
          <w:szCs w:val="26"/>
          <w:shd w:val="clear" w:color="auto" w:fill="FCFCFC"/>
        </w:rPr>
        <w:t xml:space="preserve"> which are studied in the present analysis. The flow behaviors and the heat transfer rates of 18 types of </w:t>
      </w:r>
      <w:proofErr w:type="spellStart"/>
      <w:r>
        <w:rPr>
          <w:rFonts w:ascii="Georgia" w:hAnsi="Georgia"/>
          <w:color w:val="333333"/>
          <w:spacing w:val="2"/>
          <w:sz w:val="26"/>
          <w:szCs w:val="26"/>
          <w:shd w:val="clear" w:color="auto" w:fill="FCFCFC"/>
        </w:rPr>
        <w:t>nanofluids</w:t>
      </w:r>
      <w:proofErr w:type="spellEnd"/>
      <w:r>
        <w:rPr>
          <w:rFonts w:ascii="Georgia" w:hAnsi="Georgia"/>
          <w:color w:val="333333"/>
          <w:spacing w:val="2"/>
          <w:sz w:val="26"/>
          <w:szCs w:val="26"/>
          <w:shd w:val="clear" w:color="auto" w:fill="FCFCFC"/>
        </w:rPr>
        <w:t xml:space="preserve"> have been presented for the scientific and engineering community to become familiar with such </w:t>
      </w:r>
      <w:proofErr w:type="spellStart"/>
      <w:r>
        <w:rPr>
          <w:rFonts w:ascii="Georgia" w:hAnsi="Georgia"/>
          <w:color w:val="333333"/>
          <w:spacing w:val="2"/>
          <w:sz w:val="26"/>
          <w:szCs w:val="26"/>
          <w:shd w:val="clear" w:color="auto" w:fill="FCFCFC"/>
        </w:rPr>
        <w:t>nanofluids</w:t>
      </w:r>
      <w:proofErr w:type="spellEnd"/>
      <w:r>
        <w:rPr>
          <w:rFonts w:ascii="Georgia" w:hAnsi="Georgia"/>
          <w:color w:val="333333"/>
          <w:spacing w:val="2"/>
          <w:sz w:val="26"/>
          <w:szCs w:val="26"/>
          <w:shd w:val="clear" w:color="auto" w:fill="FCFCFC"/>
        </w:rPr>
        <w:t xml:space="preserve"> and apply them in practical applications.</w:t>
      </w:r>
    </w:p>
    <w:sectPr w:rsidR="00F902AF" w:rsidSect="00F902A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83AF3"/>
    <w:rsid w:val="00283AF3"/>
    <w:rsid w:val="00F902AF"/>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02A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199</Words>
  <Characters>1138</Characters>
  <Application>Microsoft Office Word</Application>
  <DocSecurity>0</DocSecurity>
  <Lines>9</Lines>
  <Paragraphs>2</Paragraphs>
  <ScaleCrop>false</ScaleCrop>
  <Company/>
  <LinksUpToDate>false</LinksUpToDate>
  <CharactersWithSpaces>1335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2018-07-16T03:45:00Z</dcterms:created>
  <dcterms:modified xsi:type="dcterms:W3CDTF">2018-07-16T03:45:00Z</dcterms:modified>
</cp:coreProperties>
</file>