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3F2B" w:rsidRDefault="00736B20">
      <w:r>
        <w:t xml:space="preserve">In this paper, the problem of unsteady convective flow of </w:t>
      </w:r>
      <w:proofErr w:type="spellStart"/>
      <w:r>
        <w:t>nanofluid</w:t>
      </w:r>
      <w:proofErr w:type="spellEnd"/>
      <w:r>
        <w:t xml:space="preserve"> in a horizontal semicircular‐annulus using </w:t>
      </w:r>
      <w:proofErr w:type="spellStart"/>
      <w:r>
        <w:t>nonhomogeneous</w:t>
      </w:r>
      <w:proofErr w:type="spellEnd"/>
      <w:r>
        <w:t xml:space="preserve"> dynamic mathematical model has been investigated. The outer wall of the annulus is considered a colder wall and the inner is maintained at three different temperatures (constant, quadratic and sinusoidal) while two other walls are thermally insulated. The </w:t>
      </w:r>
      <w:proofErr w:type="spellStart"/>
      <w:r>
        <w:t>Galerkin</w:t>
      </w:r>
      <w:proofErr w:type="spellEnd"/>
      <w:r>
        <w:t xml:space="preserve"> weighted residual finite element method has been employed to solve the governing partial differential equations after converting them into non‐ dimensional form using suitable transformation of variables. In the numerical simulations, the cobalt‐ kerosene </w:t>
      </w:r>
      <w:proofErr w:type="spellStart"/>
      <w:r>
        <w:t>nanofluid</w:t>
      </w:r>
      <w:proofErr w:type="spellEnd"/>
      <w:r>
        <w:t xml:space="preserve"> has been taken to gain insight into the flow, thermal fields as well as concentration levels of </w:t>
      </w:r>
      <w:proofErr w:type="spellStart"/>
      <w:r>
        <w:t>nanofluids</w:t>
      </w:r>
      <w:proofErr w:type="spellEnd"/>
      <w:r>
        <w:t xml:space="preserve">. Local </w:t>
      </w:r>
      <w:proofErr w:type="spellStart"/>
      <w:r>
        <w:t>Nusselt</w:t>
      </w:r>
      <w:proofErr w:type="spellEnd"/>
      <w:r>
        <w:t xml:space="preserve"> number and temperature gradient magnitude on the hotter and colder wall are displayed as line graphs. The average </w:t>
      </w:r>
      <w:proofErr w:type="spellStart"/>
      <w:r>
        <w:t>Nusselt</w:t>
      </w:r>
      <w:proofErr w:type="spellEnd"/>
      <w:r>
        <w:t xml:space="preserve"> number for cobalt‐ kerosene </w:t>
      </w:r>
      <w:proofErr w:type="spellStart"/>
      <w:r>
        <w:t>nanofluid</w:t>
      </w:r>
      <w:proofErr w:type="spellEnd"/>
      <w:r>
        <w:t xml:space="preserve"> is displayed as line graphs for different flow parameters including amount, shape and size of </w:t>
      </w:r>
      <w:proofErr w:type="spellStart"/>
      <w:r>
        <w:t>nanoparticles</w:t>
      </w:r>
      <w:proofErr w:type="spellEnd"/>
      <w:r>
        <w:t xml:space="preserve">. Also, the average </w:t>
      </w:r>
      <w:proofErr w:type="spellStart"/>
      <w:r>
        <w:t>Nusselt</w:t>
      </w:r>
      <w:proofErr w:type="spellEnd"/>
      <w:r>
        <w:t xml:space="preserve"> number is presented as a bar diagram for 12 types of </w:t>
      </w:r>
      <w:proofErr w:type="spellStart"/>
      <w:r>
        <w:t>nanofluids</w:t>
      </w:r>
      <w:proofErr w:type="spellEnd"/>
      <w:r>
        <w:t xml:space="preserve">. The result shows that 1‐20 nm size </w:t>
      </w:r>
      <w:proofErr w:type="spellStart"/>
      <w:r>
        <w:t>nanoparticles</w:t>
      </w:r>
      <w:proofErr w:type="spellEnd"/>
      <w:r>
        <w:t xml:space="preserve"> are uniform and stable in the solution. The average </w:t>
      </w:r>
      <w:proofErr w:type="spellStart"/>
      <w:r>
        <w:t>Nusselt</w:t>
      </w:r>
      <w:proofErr w:type="spellEnd"/>
      <w:r>
        <w:t xml:space="preserve"> number increases significantly, as </w:t>
      </w:r>
      <w:proofErr w:type="spellStart"/>
      <w:r>
        <w:t>nanoparticle</w:t>
      </w:r>
      <w:proofErr w:type="spellEnd"/>
      <w:r>
        <w:t xml:space="preserve"> volume fraction, Rayleigh number increases and </w:t>
      </w:r>
      <w:proofErr w:type="spellStart"/>
      <w:r>
        <w:t>nanoparticle</w:t>
      </w:r>
      <w:proofErr w:type="spellEnd"/>
      <w:r>
        <w:t xml:space="preserve"> diameter decreases. Sinusoidal heating inner wall of annulus exhibits higher heat transfer rate. Average </w:t>
      </w:r>
      <w:proofErr w:type="spellStart"/>
      <w:r>
        <w:t>Nusselt</w:t>
      </w:r>
      <w:proofErr w:type="spellEnd"/>
      <w:r>
        <w:t xml:space="preserve"> number of cobalt‐ kerosene </w:t>
      </w:r>
      <w:proofErr w:type="spellStart"/>
      <w:r>
        <w:t>nanofluid</w:t>
      </w:r>
      <w:proofErr w:type="spellEnd"/>
      <w:r>
        <w:t xml:space="preserve"> is much higher than that of other 11 types of </w:t>
      </w:r>
      <w:proofErr w:type="spellStart"/>
      <w:r>
        <w:t>nanofluids</w:t>
      </w:r>
      <w:proofErr w:type="spellEnd"/>
      <w:r>
        <w:t xml:space="preserve"> which are studied in the present analysis.</w:t>
      </w:r>
    </w:p>
    <w:sectPr w:rsidR="00FF3F2B" w:rsidSect="00FF3F2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36B20"/>
    <w:rsid w:val="00736B20"/>
    <w:rsid w:val="00FF3F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F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239</Words>
  <Characters>1367</Characters>
  <Application>Microsoft Office Word</Application>
  <DocSecurity>0</DocSecurity>
  <Lines>11</Lines>
  <Paragraphs>3</Paragraphs>
  <ScaleCrop>false</ScaleCrop>
  <Company/>
  <LinksUpToDate>false</LinksUpToDate>
  <CharactersWithSpaces>1603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2018-07-28T04:21:00Z</dcterms:created>
  <dcterms:modified xsi:type="dcterms:W3CDTF">2018-07-28T04:23:00Z</dcterms:modified>
</cp:coreProperties>
</file>