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4" w:rsidRDefault="003E4971">
      <w:r>
        <w:t>The purpose of this study is to present the development of an Ultra-Wide Band (UWB) patch antenna for dual frequency operations. The size of the proposed antenna is 40×40×1.6 mm3 and is excited by micros trip line. The Finite Element Method (FEM) based on high frequency electromagnetic simulation software is used in this investigation. Return loss is obtained below -10 dB from 8.39 to 9.7 GHz. It has achieved stable radiation efficiency 84% with gain 3.81 dB and 4.25 dB in the operating frequency band. The antenna generates two separate resonant frequencies to cover UWB band (3.1-10.6 GHz). Lower resonant mode of the antenna has an impedance bandwidth of 940 MHz (9-8.06 GHz) and the upper resonant mode has a bandwidth of 1 GHz (10.08-9.08 GHz).</w:t>
      </w:r>
    </w:p>
    <w:sectPr w:rsidR="00E461A4" w:rsidSect="00E46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3E4971"/>
    <w:rsid w:val="003E4971"/>
    <w:rsid w:val="00E4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2018-08-16T09:23:00Z</dcterms:created>
  <dcterms:modified xsi:type="dcterms:W3CDTF">2018-08-16T09:24:00Z</dcterms:modified>
</cp:coreProperties>
</file>