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6B7" w:rsidRDefault="00B76B72"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The dual-band operation of a </w:t>
      </w:r>
      <w:proofErr w:type="spell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microstrip</w:t>
      </w:r>
      <w:proofErr w:type="spell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patch antenna on a </w:t>
      </w:r>
      <w:proofErr w:type="spell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Duroid</w:t>
      </w:r>
      <w:proofErr w:type="spell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5870 substrate for Ku- and K-bands is presented. The fabrication of the proposed antenna is performed with slots and a </w:t>
      </w:r>
      <w:proofErr w:type="spell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Duroid</w:t>
      </w:r>
      <w:proofErr w:type="spell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5870 dielectric substrate and is excited by a 50 Ω </w:t>
      </w:r>
      <w:proofErr w:type="spell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microstrip</w:t>
      </w:r>
      <w:proofErr w:type="spell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transmission line. A high-frequency structural simulator (HFSS) is used which is based on the finite element method (FEM) in this research. The measured impedance bandwidth (</w:t>
      </w:r>
      <w:proofErr w:type="gram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2 :</w:t>
      </w:r>
      <w:proofErr w:type="gram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 1 VSWR) achieved is 1.07 GHz (15.93 GHz–14.86 GHz) on the lower band and 0.94 GHz (20.67–19.73 GHz) on the upper band. A stable </w:t>
      </w:r>
      <w:proofErr w:type="spellStart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omnidirectional</w:t>
      </w:r>
      <w:proofErr w:type="spellEnd"/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 xml:space="preserve"> radiation pattern is observed in the operating frequency band. The proposed prototype antenna behavior is discussed in terms of the comparisons of the measured and simulated results.</w:t>
      </w:r>
    </w:p>
    <w:sectPr w:rsidR="008B36B7" w:rsidSect="008B3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76B72"/>
    <w:rsid w:val="008B36B7"/>
    <w:rsid w:val="00B7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2018-08-16T09:40:00Z</dcterms:created>
  <dcterms:modified xsi:type="dcterms:W3CDTF">2018-08-16T09:40:00Z</dcterms:modified>
</cp:coreProperties>
</file>