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A0B" w:rsidRDefault="00C73BCD" w:rsidP="00C73BCD">
      <w:pPr>
        <w:jc w:val="both"/>
      </w:pPr>
      <w:r w:rsidRPr="00C73BCD">
        <w:t xml:space="preserve">In this paper, a highly sensible photonic crystal fiber based on a modified hexagonal structure has mentioned and demonstrated modal analysis precisely. Numerical investigation of the proposed fiber is rigorously computed using full vector finite element method (FV-FEM) with anisotropic perfect match layers. Liquid </w:t>
      </w:r>
      <w:proofErr w:type="spellStart"/>
      <w:r w:rsidRPr="00C73BCD">
        <w:t>analytes</w:t>
      </w:r>
      <w:proofErr w:type="spellEnd"/>
      <w:r w:rsidRPr="00C73BCD">
        <w:t xml:space="preserve"> are used here to infiltrate fiber core. Relative sensitivity is numerically investigated and optimized by varying the different parameters of the proposed structure at a wider wavelength regime 1.0–1.7 </w:t>
      </w:r>
      <w:proofErr w:type="spellStart"/>
      <w:r w:rsidRPr="00C73BCD">
        <w:t>μm</w:t>
      </w:r>
      <w:proofErr w:type="spellEnd"/>
      <w:r w:rsidRPr="00C73BCD">
        <w:t xml:space="preserve"> within IR region. The proposed simple structural PCF shows higher sensitivity as a chemical sensor for lower refractive index chemicals such as Water, Ethanol and Benzene. Moreover, some essential properties such as confinement loss, V parameter, spot size, beam divergence, and nonlinearity are also represented distinctly. The proposed PCF gains higher sensitivity of 53.22%, 48.19% and 55.56% for Ethanol, Water and Benzene respectively at 1.33 </w:t>
      </w:r>
      <w:proofErr w:type="spellStart"/>
      <w:r w:rsidRPr="00C73BCD">
        <w:t>μm</w:t>
      </w:r>
      <w:proofErr w:type="spellEnd"/>
      <w:r w:rsidRPr="00C73BCD">
        <w:t xml:space="preserve"> wavelength with lower confinement loss. Above result reveals that proposed fiber is capable to provide potential impact in telecommunications, chemical sensing as well as bio-sensing also.</w:t>
      </w:r>
    </w:p>
    <w:sectPr w:rsidR="002B4A0B" w:rsidSect="002B4A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C73BCD"/>
    <w:rsid w:val="002B4A0B"/>
    <w:rsid w:val="00C73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A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2018-08-28T03:55:00Z</dcterms:created>
  <dcterms:modified xsi:type="dcterms:W3CDTF">2018-08-28T03:56:00Z</dcterms:modified>
</cp:coreProperties>
</file>