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0C09" w:rsidRDefault="001A015E">
      <w:r>
        <w:rPr>
          <w:rFonts w:ascii="Georgia" w:hAnsi="Georgia"/>
          <w:color w:val="333333"/>
          <w:spacing w:val="2"/>
          <w:sz w:val="29"/>
          <w:szCs w:val="29"/>
          <w:shd w:val="clear" w:color="auto" w:fill="FCFCFC"/>
        </w:rPr>
        <w:t xml:space="preserve">The formation and propagation of small-amplitude heavy-ion-acoustic (HIA) solitary waves and double layers in an </w:t>
      </w:r>
      <w:proofErr w:type="spellStart"/>
      <w:r>
        <w:rPr>
          <w:rFonts w:ascii="Georgia" w:hAnsi="Georgia"/>
          <w:color w:val="333333"/>
          <w:spacing w:val="2"/>
          <w:sz w:val="29"/>
          <w:szCs w:val="29"/>
          <w:shd w:val="clear" w:color="auto" w:fill="FCFCFC"/>
        </w:rPr>
        <w:t>unmagnetized</w:t>
      </w:r>
      <w:proofErr w:type="spellEnd"/>
      <w:r>
        <w:rPr>
          <w:rFonts w:ascii="Georgia" w:hAnsi="Georgia"/>
          <w:color w:val="333333"/>
          <w:spacing w:val="2"/>
          <w:sz w:val="29"/>
          <w:szCs w:val="29"/>
          <w:shd w:val="clear" w:color="auto" w:fill="FCFCFC"/>
        </w:rPr>
        <w:t xml:space="preserve"> </w:t>
      </w:r>
      <w:proofErr w:type="spellStart"/>
      <w:r>
        <w:rPr>
          <w:rFonts w:ascii="Georgia" w:hAnsi="Georgia"/>
          <w:color w:val="333333"/>
          <w:spacing w:val="2"/>
          <w:sz w:val="29"/>
          <w:szCs w:val="29"/>
          <w:shd w:val="clear" w:color="auto" w:fill="FCFCFC"/>
        </w:rPr>
        <w:t>collisionless</w:t>
      </w:r>
      <w:proofErr w:type="spellEnd"/>
      <w:r>
        <w:rPr>
          <w:rFonts w:ascii="Georgia" w:hAnsi="Georgia"/>
          <w:color w:val="333333"/>
          <w:spacing w:val="2"/>
          <w:sz w:val="29"/>
          <w:szCs w:val="29"/>
          <w:shd w:val="clear" w:color="auto" w:fill="FCFCFC"/>
        </w:rPr>
        <w:t xml:space="preserve"> </w:t>
      </w:r>
      <w:proofErr w:type="spellStart"/>
      <w:r>
        <w:rPr>
          <w:rFonts w:ascii="Georgia" w:hAnsi="Georgia"/>
          <w:color w:val="333333"/>
          <w:spacing w:val="2"/>
          <w:sz w:val="29"/>
          <w:szCs w:val="29"/>
          <w:shd w:val="clear" w:color="auto" w:fill="FCFCFC"/>
        </w:rPr>
        <w:t>multicomponent</w:t>
      </w:r>
      <w:proofErr w:type="spellEnd"/>
      <w:r>
        <w:rPr>
          <w:rFonts w:ascii="Georgia" w:hAnsi="Georgia"/>
          <w:color w:val="333333"/>
          <w:spacing w:val="2"/>
          <w:sz w:val="29"/>
          <w:szCs w:val="29"/>
          <w:shd w:val="clear" w:color="auto" w:fill="FCFCFC"/>
        </w:rPr>
        <w:t xml:space="preserve"> plasma system consisting of </w:t>
      </w:r>
      <w:proofErr w:type="spellStart"/>
      <w:r>
        <w:rPr>
          <w:rFonts w:ascii="Georgia" w:hAnsi="Georgia"/>
          <w:color w:val="333333"/>
          <w:spacing w:val="2"/>
          <w:sz w:val="29"/>
          <w:szCs w:val="29"/>
          <w:shd w:val="clear" w:color="auto" w:fill="FCFCFC"/>
        </w:rPr>
        <w:t>superthermal</w:t>
      </w:r>
      <w:proofErr w:type="spellEnd"/>
      <w:r>
        <w:rPr>
          <w:rFonts w:ascii="Georgia" w:hAnsi="Georgia"/>
          <w:color w:val="333333"/>
          <w:spacing w:val="2"/>
          <w:sz w:val="29"/>
          <w:szCs w:val="29"/>
          <w:shd w:val="clear" w:color="auto" w:fill="FCFCFC"/>
        </w:rPr>
        <w:t xml:space="preserve"> electrons, Boltzmann distributed light ions, and adiabatic positively charged inertial heavy ions are theoretically investigated. The reductive perturbation technique is employed to derive the modified </w:t>
      </w:r>
      <w:proofErr w:type="spellStart"/>
      <w:r>
        <w:rPr>
          <w:rFonts w:ascii="Georgia" w:hAnsi="Georgia"/>
          <w:color w:val="333333"/>
          <w:spacing w:val="2"/>
          <w:sz w:val="29"/>
          <w:szCs w:val="29"/>
          <w:shd w:val="clear" w:color="auto" w:fill="FCFCFC"/>
        </w:rPr>
        <w:t>Korteweg</w:t>
      </w:r>
      <w:proofErr w:type="spellEnd"/>
      <w:r>
        <w:rPr>
          <w:rFonts w:ascii="Georgia" w:hAnsi="Georgia"/>
          <w:color w:val="333333"/>
          <w:spacing w:val="2"/>
          <w:sz w:val="29"/>
          <w:szCs w:val="29"/>
          <w:shd w:val="clear" w:color="auto" w:fill="FCFCFC"/>
        </w:rPr>
        <w:t xml:space="preserve">–de </w:t>
      </w:r>
      <w:proofErr w:type="spellStart"/>
      <w:r>
        <w:rPr>
          <w:rFonts w:ascii="Georgia" w:hAnsi="Georgia"/>
          <w:color w:val="333333"/>
          <w:spacing w:val="2"/>
          <w:sz w:val="29"/>
          <w:szCs w:val="29"/>
          <w:shd w:val="clear" w:color="auto" w:fill="FCFCFC"/>
        </w:rPr>
        <w:t>Vries</w:t>
      </w:r>
      <w:proofErr w:type="spellEnd"/>
      <w:r>
        <w:rPr>
          <w:rFonts w:ascii="Georgia" w:hAnsi="Georgia"/>
          <w:color w:val="333333"/>
          <w:spacing w:val="2"/>
          <w:sz w:val="29"/>
          <w:szCs w:val="29"/>
          <w:shd w:val="clear" w:color="auto" w:fill="FCFCFC"/>
        </w:rPr>
        <w:t xml:space="preserve"> (</w:t>
      </w:r>
      <w:proofErr w:type="spellStart"/>
      <w:r>
        <w:rPr>
          <w:rFonts w:ascii="Georgia" w:hAnsi="Georgia"/>
          <w:color w:val="333333"/>
          <w:spacing w:val="2"/>
          <w:sz w:val="29"/>
          <w:szCs w:val="29"/>
          <w:shd w:val="clear" w:color="auto" w:fill="FCFCFC"/>
        </w:rPr>
        <w:t>mKdV</w:t>
      </w:r>
      <w:proofErr w:type="spellEnd"/>
      <w:r>
        <w:rPr>
          <w:rFonts w:ascii="Georgia" w:hAnsi="Georgia"/>
          <w:color w:val="333333"/>
          <w:spacing w:val="2"/>
          <w:sz w:val="29"/>
          <w:szCs w:val="29"/>
          <w:shd w:val="clear" w:color="auto" w:fill="FCFCFC"/>
        </w:rPr>
        <w:t xml:space="preserve">) and standard Gardner (SG) equations. The solitary wave (SW) solution of </w:t>
      </w:r>
      <w:proofErr w:type="spellStart"/>
      <w:r>
        <w:rPr>
          <w:rFonts w:ascii="Georgia" w:hAnsi="Georgia"/>
          <w:color w:val="333333"/>
          <w:spacing w:val="2"/>
          <w:sz w:val="29"/>
          <w:szCs w:val="29"/>
          <w:shd w:val="clear" w:color="auto" w:fill="FCFCFC"/>
        </w:rPr>
        <w:t>mKdV</w:t>
      </w:r>
      <w:proofErr w:type="spellEnd"/>
      <w:r>
        <w:rPr>
          <w:rFonts w:ascii="Georgia" w:hAnsi="Georgia"/>
          <w:color w:val="333333"/>
          <w:spacing w:val="2"/>
          <w:sz w:val="29"/>
          <w:szCs w:val="29"/>
          <w:shd w:val="clear" w:color="auto" w:fill="FCFCFC"/>
        </w:rPr>
        <w:t xml:space="preserve"> and SG equations, as well as double layers (DLs) solution of SG equation, is studied for analysis of higher order nonlinearity. It is found that the plasma system under consideration supports positive and negative potential Gardner </w:t>
      </w:r>
      <w:proofErr w:type="spellStart"/>
      <w:r>
        <w:rPr>
          <w:rFonts w:ascii="Georgia" w:hAnsi="Georgia"/>
          <w:color w:val="333333"/>
          <w:spacing w:val="2"/>
          <w:sz w:val="29"/>
          <w:szCs w:val="29"/>
          <w:shd w:val="clear" w:color="auto" w:fill="FCFCFC"/>
        </w:rPr>
        <w:t>solitons</w:t>
      </w:r>
      <w:proofErr w:type="spellEnd"/>
      <w:r>
        <w:rPr>
          <w:rFonts w:ascii="Georgia" w:hAnsi="Georgia"/>
          <w:color w:val="333333"/>
          <w:spacing w:val="2"/>
          <w:sz w:val="29"/>
          <w:szCs w:val="29"/>
          <w:shd w:val="clear" w:color="auto" w:fill="FCFCFC"/>
        </w:rPr>
        <w:t xml:space="preserve">, but only positive potential </w:t>
      </w:r>
      <w:proofErr w:type="spellStart"/>
      <w:r>
        <w:rPr>
          <w:rFonts w:ascii="Georgia" w:hAnsi="Georgia"/>
          <w:color w:val="333333"/>
          <w:spacing w:val="2"/>
          <w:sz w:val="29"/>
          <w:szCs w:val="29"/>
          <w:shd w:val="clear" w:color="auto" w:fill="FCFCFC"/>
        </w:rPr>
        <w:t>mKdV</w:t>
      </w:r>
      <w:proofErr w:type="spellEnd"/>
      <w:r>
        <w:rPr>
          <w:rFonts w:ascii="Georgia" w:hAnsi="Georgia"/>
          <w:color w:val="333333"/>
          <w:spacing w:val="2"/>
          <w:sz w:val="29"/>
          <w:szCs w:val="29"/>
          <w:shd w:val="clear" w:color="auto" w:fill="FCFCFC"/>
        </w:rPr>
        <w:t xml:space="preserve"> </w:t>
      </w:r>
      <w:proofErr w:type="spellStart"/>
      <w:r>
        <w:rPr>
          <w:rFonts w:ascii="Georgia" w:hAnsi="Georgia"/>
          <w:color w:val="333333"/>
          <w:spacing w:val="2"/>
          <w:sz w:val="29"/>
          <w:szCs w:val="29"/>
          <w:shd w:val="clear" w:color="auto" w:fill="FCFCFC"/>
        </w:rPr>
        <w:t>solitons</w:t>
      </w:r>
      <w:proofErr w:type="spellEnd"/>
      <w:r>
        <w:rPr>
          <w:rFonts w:ascii="Georgia" w:hAnsi="Georgia"/>
          <w:color w:val="333333"/>
          <w:spacing w:val="2"/>
          <w:sz w:val="29"/>
          <w:szCs w:val="29"/>
          <w:shd w:val="clear" w:color="auto" w:fill="FCFCFC"/>
        </w:rPr>
        <w:t xml:space="preserve">. In addition, it is shown that, the basic properties of HIA </w:t>
      </w:r>
      <w:proofErr w:type="spellStart"/>
      <w:r>
        <w:rPr>
          <w:rFonts w:ascii="Georgia" w:hAnsi="Georgia"/>
          <w:color w:val="333333"/>
          <w:spacing w:val="2"/>
          <w:sz w:val="29"/>
          <w:szCs w:val="29"/>
          <w:shd w:val="clear" w:color="auto" w:fill="FCFCFC"/>
        </w:rPr>
        <w:t>mKdV</w:t>
      </w:r>
      <w:proofErr w:type="spellEnd"/>
      <w:r>
        <w:rPr>
          <w:rFonts w:ascii="Georgia" w:hAnsi="Georgia"/>
          <w:color w:val="333333"/>
          <w:spacing w:val="2"/>
          <w:sz w:val="29"/>
          <w:szCs w:val="29"/>
          <w:shd w:val="clear" w:color="auto" w:fill="FCFCFC"/>
        </w:rPr>
        <w:t xml:space="preserve"> and Gardner </w:t>
      </w:r>
      <w:proofErr w:type="spellStart"/>
      <w:r>
        <w:rPr>
          <w:rFonts w:ascii="Georgia" w:hAnsi="Georgia"/>
          <w:color w:val="333333"/>
          <w:spacing w:val="2"/>
          <w:sz w:val="29"/>
          <w:szCs w:val="29"/>
          <w:shd w:val="clear" w:color="auto" w:fill="FCFCFC"/>
        </w:rPr>
        <w:t>solitons</w:t>
      </w:r>
      <w:proofErr w:type="spellEnd"/>
      <w:r>
        <w:rPr>
          <w:rFonts w:ascii="Georgia" w:hAnsi="Georgia"/>
          <w:color w:val="333333"/>
          <w:spacing w:val="2"/>
          <w:sz w:val="29"/>
          <w:szCs w:val="29"/>
          <w:shd w:val="clear" w:color="auto" w:fill="FCFCFC"/>
        </w:rPr>
        <w:t xml:space="preserve"> and DLs (viz. polarity, amplitude, width, and phase speed) are incomparably influenced by the </w:t>
      </w:r>
      <w:proofErr w:type="spellStart"/>
      <w:r>
        <w:rPr>
          <w:rFonts w:ascii="Georgia" w:hAnsi="Georgia"/>
          <w:color w:val="333333"/>
          <w:spacing w:val="2"/>
          <w:sz w:val="29"/>
          <w:szCs w:val="29"/>
          <w:shd w:val="clear" w:color="auto" w:fill="FCFCFC"/>
        </w:rPr>
        <w:t>adiabaticity</w:t>
      </w:r>
      <w:proofErr w:type="spellEnd"/>
      <w:r>
        <w:rPr>
          <w:rFonts w:ascii="Georgia" w:hAnsi="Georgia"/>
          <w:color w:val="333333"/>
          <w:spacing w:val="2"/>
          <w:sz w:val="29"/>
          <w:szCs w:val="29"/>
          <w:shd w:val="clear" w:color="auto" w:fill="FCFCFC"/>
        </w:rPr>
        <w:t xml:space="preserve"> effect of heavy ions and the </w:t>
      </w:r>
      <w:proofErr w:type="spellStart"/>
      <w:r>
        <w:rPr>
          <w:rFonts w:ascii="Georgia" w:hAnsi="Georgia"/>
          <w:color w:val="333333"/>
          <w:spacing w:val="2"/>
          <w:sz w:val="29"/>
          <w:szCs w:val="29"/>
          <w:shd w:val="clear" w:color="auto" w:fill="FCFCFC"/>
        </w:rPr>
        <w:t>superthermality</w:t>
      </w:r>
      <w:proofErr w:type="spellEnd"/>
      <w:r>
        <w:rPr>
          <w:rFonts w:ascii="Georgia" w:hAnsi="Georgia"/>
          <w:color w:val="333333"/>
          <w:spacing w:val="2"/>
          <w:sz w:val="29"/>
          <w:szCs w:val="29"/>
          <w:shd w:val="clear" w:color="auto" w:fill="FCFCFC"/>
        </w:rPr>
        <w:t xml:space="preserve"> effect of electrons. The relevance of the present findings to the system of space plasmas, as well as to the system of </w:t>
      </w:r>
      <w:proofErr w:type="gramStart"/>
      <w:r>
        <w:rPr>
          <w:rFonts w:ascii="Georgia" w:hAnsi="Georgia"/>
          <w:color w:val="333333"/>
          <w:spacing w:val="2"/>
          <w:sz w:val="29"/>
          <w:szCs w:val="29"/>
          <w:shd w:val="clear" w:color="auto" w:fill="FCFCFC"/>
        </w:rPr>
        <w:t>researchers</w:t>
      </w:r>
      <w:proofErr w:type="gramEnd"/>
      <w:r>
        <w:rPr>
          <w:rFonts w:ascii="Georgia" w:hAnsi="Georgia"/>
          <w:color w:val="333333"/>
          <w:spacing w:val="2"/>
          <w:sz w:val="29"/>
          <w:szCs w:val="29"/>
          <w:shd w:val="clear" w:color="auto" w:fill="FCFCFC"/>
        </w:rPr>
        <w:t xml:space="preserve"> interest, is specified.</w:t>
      </w:r>
    </w:p>
    <w:sectPr w:rsidR="00290C09" w:rsidSect="00290C0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1A015E"/>
    <w:rsid w:val="001A015E"/>
    <w:rsid w:val="00290C0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C0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175</Words>
  <Characters>1002</Characters>
  <Application>Microsoft Office Word</Application>
  <DocSecurity>0</DocSecurity>
  <Lines>8</Lines>
  <Paragraphs>2</Paragraphs>
  <ScaleCrop>false</ScaleCrop>
  <Company/>
  <LinksUpToDate>false</LinksUpToDate>
  <CharactersWithSpaces>1175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2018-09-05T06:07:00Z</dcterms:created>
  <dcterms:modified xsi:type="dcterms:W3CDTF">2018-09-05T06:07:00Z</dcterms:modified>
</cp:coreProperties>
</file>