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473" w:rsidRDefault="00805A1A" w:rsidP="00805A1A">
      <w:r>
        <w:t>Digitization is a fundamental driver of development and economic growth of the world in both urbanized and emerging markets. Vision “Digital Bangladesh by 2021” marks the countries journey towards becoming a developed nation and embracing the knowledge-based economy as means of achieving it. However the dependency on digitization increases vulnerabilities and risks including cybercrimes such as hacking, intrusion, fraud, harassment and more. Bangladesh government is aware of these threats and has initiated various measures to prevent them. In this paper we discuss the mechanism Bangladesh government has taken to make Bangladesh cyber resilient and the present condition of that initiative. This paper also presents a statistical analysis of various attacks and their results on the websites of Bangladesh.</w:t>
      </w:r>
    </w:p>
    <w:sectPr w:rsidR="00A72473" w:rsidSect="00A7247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805A1A"/>
    <w:rsid w:val="00805A1A"/>
    <w:rsid w:val="00A724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4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121</Words>
  <Characters>693</Characters>
  <Application>Microsoft Office Word</Application>
  <DocSecurity>0</DocSecurity>
  <Lines>5</Lines>
  <Paragraphs>1</Paragraphs>
  <ScaleCrop>false</ScaleCrop>
  <Company/>
  <LinksUpToDate>false</LinksUpToDate>
  <CharactersWithSpaces>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2018-09-05T07:11:00Z</dcterms:created>
  <dcterms:modified xsi:type="dcterms:W3CDTF">2018-09-05T07:11:00Z</dcterms:modified>
</cp:coreProperties>
</file>