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6CA" w:rsidRDefault="00473BE0">
      <w:r w:rsidRPr="00473BE0">
        <w:t>Security threats in cyberspace is growing exponentially with the dramatic growth of the use of Internet. Ransomware is special types of malware that usually blocks a user‟s access to their data or programs by using encoding techniques with a key and allow decode those until a ransom payment is made to cybercriminals. Many of world giant companies rank Ransomware among their top cyber threats for 2016. To achieve the government‟s goal of Vision 2021, Bangladesh is going forward with digitization of public and private sectors. Like the private services, many of the government services now also available online. The rapid growth of digital contents on cyberspace, without taking proper security measure increases the risk of vulnerability of those sites. Cybercriminal may take these opportunities to collect Ransomware by attacking these vulnerable sites. This paper investigates the global trends of rise of Ransomware and the potential risk of the sites in Bangladesh. Several vulnerability of these sites have been detected and to make the cyberspace of Bangladesh more secure, specific recommendations have been made. The findings of this research will help the government and private sector to understand the level of risk due to these vulnerabilities and will help them to fight against the cybercriminals.</w:t>
      </w:r>
    </w:p>
    <w:sectPr w:rsidR="009966CA" w:rsidSect="009966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473BE0"/>
    <w:rsid w:val="00473BE0"/>
    <w:rsid w:val="009966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6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2018-09-11T05:35:00Z</dcterms:created>
  <dcterms:modified xsi:type="dcterms:W3CDTF">2018-09-11T05:35:00Z</dcterms:modified>
</cp:coreProperties>
</file>