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039B" w:rsidRDefault="005C77BC">
      <w:r>
        <w:rPr>
          <w:rFonts w:ascii="Arial" w:hAnsi="Arial" w:cs="Arial"/>
          <w:color w:val="323232"/>
          <w:sz w:val="21"/>
          <w:szCs w:val="21"/>
          <w:shd w:val="clear" w:color="auto" w:fill="FFFFFF"/>
        </w:rPr>
        <w:t xml:space="preserve">The </w:t>
      </w:r>
      <w:proofErr w:type="spellStart"/>
      <w:r>
        <w:rPr>
          <w:rFonts w:ascii="Arial" w:hAnsi="Arial" w:cs="Arial"/>
          <w:color w:val="323232"/>
          <w:sz w:val="21"/>
          <w:szCs w:val="21"/>
          <w:shd w:val="clear" w:color="auto" w:fill="FFFFFF"/>
        </w:rPr>
        <w:t>Menispermaceae</w:t>
      </w:r>
      <w:proofErr w:type="spellEnd"/>
      <w:r>
        <w:rPr>
          <w:rFonts w:ascii="Arial" w:hAnsi="Arial" w:cs="Arial"/>
          <w:color w:val="323232"/>
          <w:sz w:val="21"/>
          <w:szCs w:val="21"/>
          <w:shd w:val="clear" w:color="auto" w:fill="FFFFFF"/>
        </w:rPr>
        <w:t xml:space="preserve"> family of flowering plants comprises of about 70 genera and 420 species. The plants belonging to this family are mostly climbing plants and the great majority of the species can be found in countries with a tropical climate. Although small, the family contains a number of plants with scientifically recognized important pharmacological activities. The folk medicinal system of Bangladesh mainly relies on medicinal plants for treatment of various ailments, where the folk medicinal practitioners (otherwise known as </w:t>
      </w:r>
      <w:proofErr w:type="spellStart"/>
      <w:r>
        <w:rPr>
          <w:rFonts w:ascii="Arial" w:hAnsi="Arial" w:cs="Arial"/>
          <w:color w:val="323232"/>
          <w:sz w:val="21"/>
          <w:szCs w:val="21"/>
          <w:shd w:val="clear" w:color="auto" w:fill="FFFFFF"/>
        </w:rPr>
        <w:t>Kavirajes</w:t>
      </w:r>
      <w:proofErr w:type="spellEnd"/>
      <w:r>
        <w:rPr>
          <w:rFonts w:ascii="Arial" w:hAnsi="Arial" w:cs="Arial"/>
          <w:color w:val="323232"/>
          <w:sz w:val="21"/>
          <w:szCs w:val="21"/>
          <w:shd w:val="clear" w:color="auto" w:fill="FFFFFF"/>
        </w:rPr>
        <w:t xml:space="preserve">) use whole plants or plant parts for oral or topical administration for treatment of ailments. We conducted an </w:t>
      </w:r>
      <w:proofErr w:type="spellStart"/>
      <w:r>
        <w:rPr>
          <w:rFonts w:ascii="Arial" w:hAnsi="Arial" w:cs="Arial"/>
          <w:color w:val="323232"/>
          <w:sz w:val="21"/>
          <w:szCs w:val="21"/>
          <w:shd w:val="clear" w:color="auto" w:fill="FFFFFF"/>
        </w:rPr>
        <w:t>ethnomedicinal</w:t>
      </w:r>
      <w:proofErr w:type="spellEnd"/>
      <w:r>
        <w:rPr>
          <w:rFonts w:ascii="Arial" w:hAnsi="Arial" w:cs="Arial"/>
          <w:color w:val="323232"/>
          <w:sz w:val="21"/>
          <w:szCs w:val="21"/>
          <w:shd w:val="clear" w:color="auto" w:fill="FFFFFF"/>
        </w:rPr>
        <w:t xml:space="preserve"> survey throughout over 100 regions and among seven different tribes of Bangladesh to collect data on the use of </w:t>
      </w:r>
      <w:proofErr w:type="spellStart"/>
      <w:r>
        <w:rPr>
          <w:rFonts w:ascii="Arial" w:hAnsi="Arial" w:cs="Arial"/>
          <w:color w:val="323232"/>
          <w:sz w:val="21"/>
          <w:szCs w:val="21"/>
          <w:shd w:val="clear" w:color="auto" w:fill="FFFFFF"/>
        </w:rPr>
        <w:t>Menispermaceae</w:t>
      </w:r>
      <w:proofErr w:type="spellEnd"/>
      <w:r>
        <w:rPr>
          <w:rFonts w:ascii="Arial" w:hAnsi="Arial" w:cs="Arial"/>
          <w:color w:val="323232"/>
          <w:sz w:val="21"/>
          <w:szCs w:val="21"/>
          <w:shd w:val="clear" w:color="auto" w:fill="FFFFFF"/>
        </w:rPr>
        <w:t xml:space="preserve"> family plants for medicinal purposes. Data was collected with the help of a semi-structured questionnaire and plant specimens as pointed out by the </w:t>
      </w:r>
      <w:proofErr w:type="spellStart"/>
      <w:r>
        <w:rPr>
          <w:rFonts w:ascii="Arial" w:hAnsi="Arial" w:cs="Arial"/>
          <w:color w:val="323232"/>
          <w:sz w:val="21"/>
          <w:szCs w:val="21"/>
          <w:shd w:val="clear" w:color="auto" w:fill="FFFFFF"/>
        </w:rPr>
        <w:t>Kavirajes</w:t>
      </w:r>
      <w:proofErr w:type="spellEnd"/>
      <w:r>
        <w:rPr>
          <w:rFonts w:ascii="Arial" w:hAnsi="Arial" w:cs="Arial"/>
          <w:color w:val="323232"/>
          <w:sz w:val="21"/>
          <w:szCs w:val="21"/>
          <w:shd w:val="clear" w:color="auto" w:fill="FFFFFF"/>
        </w:rPr>
        <w:t xml:space="preserve"> were identified at the Bangladesh National Herbarium. Six species belonging to the </w:t>
      </w:r>
      <w:proofErr w:type="spellStart"/>
      <w:r>
        <w:rPr>
          <w:rFonts w:ascii="Arial" w:hAnsi="Arial" w:cs="Arial"/>
          <w:color w:val="323232"/>
          <w:sz w:val="21"/>
          <w:szCs w:val="21"/>
          <w:shd w:val="clear" w:color="auto" w:fill="FFFFFF"/>
        </w:rPr>
        <w:t>Menispermaceae</w:t>
      </w:r>
      <w:proofErr w:type="spellEnd"/>
      <w:r>
        <w:rPr>
          <w:rFonts w:ascii="Arial" w:hAnsi="Arial" w:cs="Arial"/>
          <w:color w:val="323232"/>
          <w:sz w:val="21"/>
          <w:szCs w:val="21"/>
          <w:shd w:val="clear" w:color="auto" w:fill="FFFFFF"/>
        </w:rPr>
        <w:t xml:space="preserve"> family were observed to be in use by the </w:t>
      </w:r>
      <w:proofErr w:type="spellStart"/>
      <w:r>
        <w:rPr>
          <w:rFonts w:ascii="Arial" w:hAnsi="Arial" w:cs="Arial"/>
          <w:color w:val="323232"/>
          <w:sz w:val="21"/>
          <w:szCs w:val="21"/>
          <w:shd w:val="clear" w:color="auto" w:fill="FFFFFF"/>
        </w:rPr>
        <w:t>Kavirajes</w:t>
      </w:r>
      <w:proofErr w:type="spellEnd"/>
      <w:r>
        <w:rPr>
          <w:rFonts w:ascii="Arial" w:hAnsi="Arial" w:cs="Arial"/>
          <w:color w:val="323232"/>
          <w:sz w:val="21"/>
          <w:szCs w:val="21"/>
          <w:shd w:val="clear" w:color="auto" w:fill="FFFFFF"/>
        </w:rPr>
        <w:t xml:space="preserve">. These six species were </w:t>
      </w:r>
      <w:proofErr w:type="spellStart"/>
      <w:r>
        <w:rPr>
          <w:rFonts w:ascii="Arial" w:hAnsi="Arial" w:cs="Arial"/>
          <w:color w:val="323232"/>
          <w:sz w:val="21"/>
          <w:szCs w:val="21"/>
          <w:shd w:val="clear" w:color="auto" w:fill="FFFFFF"/>
        </w:rPr>
        <w:t>Cocculus</w:t>
      </w:r>
      <w:proofErr w:type="spellEnd"/>
      <w:r>
        <w:rPr>
          <w:rFonts w:ascii="Arial" w:hAnsi="Arial" w:cs="Arial"/>
          <w:color w:val="323232"/>
          <w:sz w:val="21"/>
          <w:szCs w:val="21"/>
          <w:shd w:val="clear" w:color="auto" w:fill="FFFFFF"/>
        </w:rPr>
        <w:t xml:space="preserve"> </w:t>
      </w:r>
      <w:proofErr w:type="spellStart"/>
      <w:r>
        <w:rPr>
          <w:rFonts w:ascii="Arial" w:hAnsi="Arial" w:cs="Arial"/>
          <w:color w:val="323232"/>
          <w:sz w:val="21"/>
          <w:szCs w:val="21"/>
          <w:shd w:val="clear" w:color="auto" w:fill="FFFFFF"/>
        </w:rPr>
        <w:t>hirsutus</w:t>
      </w:r>
      <w:proofErr w:type="spellEnd"/>
      <w:r>
        <w:rPr>
          <w:rFonts w:ascii="Arial" w:hAnsi="Arial" w:cs="Arial"/>
          <w:color w:val="323232"/>
          <w:sz w:val="21"/>
          <w:szCs w:val="21"/>
          <w:shd w:val="clear" w:color="auto" w:fill="FFFFFF"/>
        </w:rPr>
        <w:t xml:space="preserve">, </w:t>
      </w:r>
      <w:proofErr w:type="spellStart"/>
      <w:r>
        <w:rPr>
          <w:rFonts w:ascii="Arial" w:hAnsi="Arial" w:cs="Arial"/>
          <w:color w:val="323232"/>
          <w:sz w:val="21"/>
          <w:szCs w:val="21"/>
          <w:shd w:val="clear" w:color="auto" w:fill="FFFFFF"/>
        </w:rPr>
        <w:t>Stephania</w:t>
      </w:r>
      <w:proofErr w:type="spellEnd"/>
      <w:r>
        <w:rPr>
          <w:rFonts w:ascii="Arial" w:hAnsi="Arial" w:cs="Arial"/>
          <w:color w:val="323232"/>
          <w:sz w:val="21"/>
          <w:szCs w:val="21"/>
          <w:shd w:val="clear" w:color="auto" w:fill="FFFFFF"/>
        </w:rPr>
        <w:t xml:space="preserve"> </w:t>
      </w:r>
      <w:proofErr w:type="spellStart"/>
      <w:r>
        <w:rPr>
          <w:rFonts w:ascii="Arial" w:hAnsi="Arial" w:cs="Arial"/>
          <w:color w:val="323232"/>
          <w:sz w:val="21"/>
          <w:szCs w:val="21"/>
          <w:shd w:val="clear" w:color="auto" w:fill="FFFFFF"/>
        </w:rPr>
        <w:t>glabra</w:t>
      </w:r>
      <w:proofErr w:type="spellEnd"/>
      <w:r>
        <w:rPr>
          <w:rFonts w:ascii="Arial" w:hAnsi="Arial" w:cs="Arial"/>
          <w:color w:val="323232"/>
          <w:sz w:val="21"/>
          <w:szCs w:val="21"/>
          <w:shd w:val="clear" w:color="auto" w:fill="FFFFFF"/>
        </w:rPr>
        <w:t xml:space="preserve">, </w:t>
      </w:r>
      <w:proofErr w:type="spellStart"/>
      <w:r>
        <w:rPr>
          <w:rFonts w:ascii="Arial" w:hAnsi="Arial" w:cs="Arial"/>
          <w:color w:val="323232"/>
          <w:sz w:val="21"/>
          <w:szCs w:val="21"/>
          <w:shd w:val="clear" w:color="auto" w:fill="FFFFFF"/>
        </w:rPr>
        <w:t>Stephania</w:t>
      </w:r>
      <w:proofErr w:type="spellEnd"/>
      <w:r>
        <w:rPr>
          <w:rFonts w:ascii="Arial" w:hAnsi="Arial" w:cs="Arial"/>
          <w:color w:val="323232"/>
          <w:sz w:val="21"/>
          <w:szCs w:val="21"/>
          <w:shd w:val="clear" w:color="auto" w:fill="FFFFFF"/>
        </w:rPr>
        <w:t xml:space="preserve"> japonica, </w:t>
      </w:r>
      <w:proofErr w:type="spellStart"/>
      <w:r>
        <w:rPr>
          <w:rFonts w:ascii="Arial" w:hAnsi="Arial" w:cs="Arial"/>
          <w:color w:val="323232"/>
          <w:sz w:val="21"/>
          <w:szCs w:val="21"/>
          <w:shd w:val="clear" w:color="auto" w:fill="FFFFFF"/>
        </w:rPr>
        <w:t>Tinospora</w:t>
      </w:r>
      <w:proofErr w:type="spellEnd"/>
      <w:r>
        <w:rPr>
          <w:rFonts w:ascii="Arial" w:hAnsi="Arial" w:cs="Arial"/>
          <w:color w:val="323232"/>
          <w:sz w:val="21"/>
          <w:szCs w:val="21"/>
          <w:shd w:val="clear" w:color="auto" w:fill="FFFFFF"/>
        </w:rPr>
        <w:t xml:space="preserve"> </w:t>
      </w:r>
      <w:proofErr w:type="spellStart"/>
      <w:r>
        <w:rPr>
          <w:rFonts w:ascii="Arial" w:hAnsi="Arial" w:cs="Arial"/>
          <w:color w:val="323232"/>
          <w:sz w:val="21"/>
          <w:szCs w:val="21"/>
          <w:shd w:val="clear" w:color="auto" w:fill="FFFFFF"/>
        </w:rPr>
        <w:t>cordifolia</w:t>
      </w:r>
      <w:proofErr w:type="spellEnd"/>
      <w:r>
        <w:rPr>
          <w:rFonts w:ascii="Arial" w:hAnsi="Arial" w:cs="Arial"/>
          <w:color w:val="323232"/>
          <w:sz w:val="21"/>
          <w:szCs w:val="21"/>
          <w:shd w:val="clear" w:color="auto" w:fill="FFFFFF"/>
        </w:rPr>
        <w:t xml:space="preserve">, </w:t>
      </w:r>
      <w:proofErr w:type="spellStart"/>
      <w:r>
        <w:rPr>
          <w:rFonts w:ascii="Arial" w:hAnsi="Arial" w:cs="Arial"/>
          <w:color w:val="323232"/>
          <w:sz w:val="21"/>
          <w:szCs w:val="21"/>
          <w:shd w:val="clear" w:color="auto" w:fill="FFFFFF"/>
        </w:rPr>
        <w:t>Tinospora</w:t>
      </w:r>
      <w:proofErr w:type="spellEnd"/>
      <w:r>
        <w:rPr>
          <w:rFonts w:ascii="Arial" w:hAnsi="Arial" w:cs="Arial"/>
          <w:color w:val="323232"/>
          <w:sz w:val="21"/>
          <w:szCs w:val="21"/>
          <w:shd w:val="clear" w:color="auto" w:fill="FFFFFF"/>
        </w:rPr>
        <w:t xml:space="preserve"> </w:t>
      </w:r>
      <w:proofErr w:type="spellStart"/>
      <w:r>
        <w:rPr>
          <w:rFonts w:ascii="Arial" w:hAnsi="Arial" w:cs="Arial"/>
          <w:color w:val="323232"/>
          <w:sz w:val="21"/>
          <w:szCs w:val="21"/>
          <w:shd w:val="clear" w:color="auto" w:fill="FFFFFF"/>
        </w:rPr>
        <w:t>crispa</w:t>
      </w:r>
      <w:proofErr w:type="spellEnd"/>
      <w:r>
        <w:rPr>
          <w:rFonts w:ascii="Arial" w:hAnsi="Arial" w:cs="Arial"/>
          <w:color w:val="323232"/>
          <w:sz w:val="21"/>
          <w:szCs w:val="21"/>
          <w:shd w:val="clear" w:color="auto" w:fill="FFFFFF"/>
        </w:rPr>
        <w:t xml:space="preserve">, and </w:t>
      </w:r>
      <w:proofErr w:type="spellStart"/>
      <w:r>
        <w:rPr>
          <w:rFonts w:ascii="Arial" w:hAnsi="Arial" w:cs="Arial"/>
          <w:color w:val="323232"/>
          <w:sz w:val="21"/>
          <w:szCs w:val="21"/>
          <w:shd w:val="clear" w:color="auto" w:fill="FFFFFF"/>
        </w:rPr>
        <w:t>Tinospora</w:t>
      </w:r>
      <w:proofErr w:type="spellEnd"/>
      <w:r>
        <w:rPr>
          <w:rFonts w:ascii="Arial" w:hAnsi="Arial" w:cs="Arial"/>
          <w:color w:val="323232"/>
          <w:sz w:val="21"/>
          <w:szCs w:val="21"/>
          <w:shd w:val="clear" w:color="auto" w:fill="FFFFFF"/>
        </w:rPr>
        <w:t xml:space="preserve"> </w:t>
      </w:r>
      <w:proofErr w:type="spellStart"/>
      <w:r>
        <w:rPr>
          <w:rFonts w:ascii="Arial" w:hAnsi="Arial" w:cs="Arial"/>
          <w:color w:val="323232"/>
          <w:sz w:val="21"/>
          <w:szCs w:val="21"/>
          <w:shd w:val="clear" w:color="auto" w:fill="FFFFFF"/>
        </w:rPr>
        <w:t>sinensis</w:t>
      </w:r>
      <w:proofErr w:type="spellEnd"/>
      <w:r>
        <w:rPr>
          <w:rFonts w:ascii="Arial" w:hAnsi="Arial" w:cs="Arial"/>
          <w:color w:val="323232"/>
          <w:sz w:val="21"/>
          <w:szCs w:val="21"/>
          <w:shd w:val="clear" w:color="auto" w:fill="FFFFFF"/>
        </w:rPr>
        <w:t xml:space="preserve">. Of the six species, </w:t>
      </w:r>
      <w:proofErr w:type="spellStart"/>
      <w:r>
        <w:rPr>
          <w:rFonts w:ascii="Arial" w:hAnsi="Arial" w:cs="Arial"/>
          <w:color w:val="323232"/>
          <w:sz w:val="21"/>
          <w:szCs w:val="21"/>
          <w:shd w:val="clear" w:color="auto" w:fill="FFFFFF"/>
        </w:rPr>
        <w:t>Stephania</w:t>
      </w:r>
      <w:proofErr w:type="spellEnd"/>
      <w:r>
        <w:rPr>
          <w:rFonts w:ascii="Arial" w:hAnsi="Arial" w:cs="Arial"/>
          <w:color w:val="323232"/>
          <w:sz w:val="21"/>
          <w:szCs w:val="21"/>
          <w:shd w:val="clear" w:color="auto" w:fill="FFFFFF"/>
        </w:rPr>
        <w:t xml:space="preserve"> japonica and </w:t>
      </w:r>
      <w:proofErr w:type="spellStart"/>
      <w:r>
        <w:rPr>
          <w:rFonts w:ascii="Arial" w:hAnsi="Arial" w:cs="Arial"/>
          <w:color w:val="323232"/>
          <w:sz w:val="21"/>
          <w:szCs w:val="21"/>
          <w:shd w:val="clear" w:color="auto" w:fill="FFFFFF"/>
        </w:rPr>
        <w:t>Tinospora</w:t>
      </w:r>
      <w:proofErr w:type="spellEnd"/>
      <w:r>
        <w:rPr>
          <w:rFonts w:ascii="Arial" w:hAnsi="Arial" w:cs="Arial"/>
          <w:color w:val="323232"/>
          <w:sz w:val="21"/>
          <w:szCs w:val="21"/>
          <w:shd w:val="clear" w:color="auto" w:fill="FFFFFF"/>
        </w:rPr>
        <w:t xml:space="preserve"> </w:t>
      </w:r>
      <w:proofErr w:type="spellStart"/>
      <w:r>
        <w:rPr>
          <w:rFonts w:ascii="Arial" w:hAnsi="Arial" w:cs="Arial"/>
          <w:color w:val="323232"/>
          <w:sz w:val="21"/>
          <w:szCs w:val="21"/>
          <w:shd w:val="clear" w:color="auto" w:fill="FFFFFF"/>
        </w:rPr>
        <w:t>cordifolia</w:t>
      </w:r>
      <w:proofErr w:type="spellEnd"/>
      <w:r>
        <w:rPr>
          <w:rFonts w:ascii="Arial" w:hAnsi="Arial" w:cs="Arial"/>
          <w:color w:val="323232"/>
          <w:sz w:val="21"/>
          <w:szCs w:val="21"/>
          <w:shd w:val="clear" w:color="auto" w:fill="FFFFFF"/>
        </w:rPr>
        <w:t xml:space="preserve"> were most frequently used for treatment of ailments like diabetes, edema, pain, bone fracture, debility, gastrointestinal disorders, respiratory tract disorders, </w:t>
      </w:r>
      <w:proofErr w:type="spellStart"/>
      <w:r>
        <w:rPr>
          <w:rFonts w:ascii="Arial" w:hAnsi="Arial" w:cs="Arial"/>
          <w:color w:val="323232"/>
          <w:sz w:val="21"/>
          <w:szCs w:val="21"/>
          <w:shd w:val="clear" w:color="auto" w:fill="FFFFFF"/>
        </w:rPr>
        <w:t>helminthiasis</w:t>
      </w:r>
      <w:proofErr w:type="spellEnd"/>
      <w:r>
        <w:rPr>
          <w:rFonts w:ascii="Arial" w:hAnsi="Arial" w:cs="Arial"/>
          <w:color w:val="323232"/>
          <w:sz w:val="21"/>
          <w:szCs w:val="21"/>
          <w:shd w:val="clear" w:color="auto" w:fill="FFFFFF"/>
        </w:rPr>
        <w:t>, malaria, hepatic disorders, tuberculosis, measles, urinary tract disorders, and hypertension. The folk medicinal use of several of these plants has been validated through scientific studies. </w:t>
      </w:r>
    </w:p>
    <w:sectPr w:rsidR="00AA039B" w:rsidSect="00AA039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C77BC"/>
    <w:rsid w:val="005C77BC"/>
    <w:rsid w:val="00AA039B"/>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3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1433</Characters>
  <Application>Microsoft Office Word</Application>
  <DocSecurity>0</DocSecurity>
  <Lines>11</Lines>
  <Paragraphs>3</Paragraphs>
  <ScaleCrop>false</ScaleCrop>
  <Company/>
  <LinksUpToDate>false</LinksUpToDate>
  <CharactersWithSpaces>1681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2018-09-18T05:28:00Z</dcterms:created>
  <dcterms:modified xsi:type="dcterms:W3CDTF">2018-09-18T05:28:00Z</dcterms:modified>
</cp:coreProperties>
</file>