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B4E" w:rsidRDefault="00C01F12">
      <w:r>
        <w:t>Despite recent growing research interest on ERP research, the understanding on ERP induced exhaustion is still limited. This study examines how the pace of change of ERP functionalities and interface causes exhaustion in workplace. For this purpose, we conducted an investigation on 128 ERP users from two different organizations in Bangladesh. We extended theory of technostress by integrating pace of change of ERP system. Result suggests that pace of change on ERP system significantly affect work-overload, work-life conflict and role ambiguity on ERP users. Result also shows that work-overload and role ambiguity are strong predictors for ERP induced exhaustion.</w:t>
      </w:r>
    </w:p>
    <w:sectPr w:rsidR="002E3B4E" w:rsidSect="002E3B4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01F12"/>
    <w:rsid w:val="002E3B4E"/>
    <w:rsid w:val="00C01F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B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570</Characters>
  <Application>Microsoft Office Word</Application>
  <DocSecurity>0</DocSecurity>
  <Lines>4</Lines>
  <Paragraphs>1</Paragraphs>
  <ScaleCrop>false</ScaleCrop>
  <Company/>
  <LinksUpToDate>false</LinksUpToDate>
  <CharactersWithSpaces>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2018-09-23T06:50:00Z</dcterms:created>
  <dcterms:modified xsi:type="dcterms:W3CDTF">2018-09-23T06:50:00Z</dcterms:modified>
</cp:coreProperties>
</file>