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34B" w:rsidRPr="004D3FC4" w:rsidRDefault="004D3FC4" w:rsidP="004D3FC4">
      <w:pPr>
        <w:jc w:val="both"/>
      </w:pPr>
      <w:r w:rsidRPr="004D3FC4">
        <w:rPr>
          <w:rFonts w:ascii="Arial" w:hAnsi="Arial" w:cs="Arial"/>
          <w:color w:val="333333"/>
          <w:shd w:val="clear" w:color="auto" w:fill="FFFFFF"/>
        </w:rPr>
        <w:t>Bangladesh is a least developed country which ranks 131 out of 132 in the environment pollution index. Currently, small- and medium-sized enterprises (SMEs) provide 70–80 percent of job opportunities in Bangladesh. Information technology (IT) is one of the industries providing highest employment in the country. The IT professionals' expertise plays an important role in influencing the firms' decisions regarding sustainability. The objective of this chapter is to develop a theoretical model to measure attitude towards green IT usage among IT professionals in Bangladesh. The model will be grounded on self-determination theory.</w:t>
      </w:r>
    </w:p>
    <w:sectPr w:rsidR="002B434B" w:rsidRPr="004D3FC4" w:rsidSect="002B43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D3FC4"/>
    <w:rsid w:val="002B434B"/>
    <w:rsid w:val="004D3FC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3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539</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2018-09-24T06:03:00Z</dcterms:created>
  <dcterms:modified xsi:type="dcterms:W3CDTF">2018-09-24T06:03:00Z</dcterms:modified>
</cp:coreProperties>
</file>