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924" w:rsidRDefault="00724897">
      <w:r>
        <w:t xml:space="preserve">Free radicals are associated with Diabetes and its complications. The present study was designed to investigate DPPH scavenging in-vitro antioxidant activity and </w:t>
      </w:r>
      <w:proofErr w:type="spellStart"/>
      <w:r>
        <w:t>antidiabetic</w:t>
      </w:r>
      <w:proofErr w:type="spellEnd"/>
      <w:r>
        <w:t xml:space="preserve"> activity on </w:t>
      </w:r>
      <w:proofErr w:type="spellStart"/>
      <w:r>
        <w:t>alloxan</w:t>
      </w:r>
      <w:proofErr w:type="spellEnd"/>
      <w:r>
        <w:t xml:space="preserve"> induced diabetic mice. Mice treated with extract dose at 300mg/kg </w:t>
      </w:r>
      <w:proofErr w:type="spellStart"/>
      <w:r>
        <w:t>p.o</w:t>
      </w:r>
      <w:proofErr w:type="spellEnd"/>
      <w:r>
        <w:t xml:space="preserve">, showed a remarkable decrease </w:t>
      </w:r>
      <w:proofErr w:type="gramStart"/>
      <w:r>
        <w:t>( *</w:t>
      </w:r>
      <w:proofErr w:type="gramEnd"/>
      <w:r>
        <w:t xml:space="preserve">**p&lt;0.001) of blood glucose concentration at 90min and 120min compared to diabetic control group and </w:t>
      </w:r>
      <w:proofErr w:type="spellStart"/>
      <w:r>
        <w:t>metformin</w:t>
      </w:r>
      <w:proofErr w:type="spellEnd"/>
      <w:r>
        <w:t xml:space="preserve"> was taken as a reference standard. In this study antioxidant activity of </w:t>
      </w:r>
      <w:proofErr w:type="spellStart"/>
      <w:r>
        <w:t>Citrullus</w:t>
      </w:r>
      <w:proofErr w:type="spellEnd"/>
      <w:r>
        <w:t xml:space="preserve"> </w:t>
      </w:r>
      <w:proofErr w:type="spellStart"/>
      <w:r>
        <w:t>lanatus</w:t>
      </w:r>
      <w:proofErr w:type="spellEnd"/>
      <w:r>
        <w:t xml:space="preserve"> was g/ml</w:t>
      </w:r>
      <w:r>
        <w:sym w:font="Symbol" w:char="F06D"/>
      </w:r>
      <w:r>
        <w:t xml:space="preserve">g/ml in contrast with ascorbic acid IC50 was 36.34 </w:t>
      </w:r>
      <w:r>
        <w:sym w:font="Symbol" w:char="F06D"/>
      </w:r>
      <w:r>
        <w:t>IC50 was 102.51 g/ml</w:t>
      </w:r>
      <w:proofErr w:type="gramStart"/>
      <w:r>
        <w:t>.</w:t>
      </w:r>
      <w:proofErr w:type="gramEnd"/>
      <w:r>
        <w:sym w:font="Symbol" w:char="F06D"/>
      </w:r>
      <w:r>
        <w:t xml:space="preserve">g/ml in contrast with ascorbic acid IC50 was 36.34 </w:t>
      </w:r>
      <w:r>
        <w:sym w:font="Symbol" w:char="F06D"/>
      </w:r>
      <w:r>
        <w:t>g/ml.</w:t>
      </w:r>
    </w:p>
    <w:sectPr w:rsidR="004F2924" w:rsidSect="004F29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24897"/>
    <w:rsid w:val="004F2924"/>
    <w:rsid w:val="00724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9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2018-09-26T06:02:00Z</dcterms:created>
  <dcterms:modified xsi:type="dcterms:W3CDTF">2018-09-26T06:04:00Z</dcterms:modified>
</cp:coreProperties>
</file>