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CBD" w:rsidRDefault="006D3A23">
      <w:r w:rsidRPr="006D3A23">
        <w:t>Economic-based resource management models are found to be efficient for distributed resource collaboration in the Grid. Due to the wide range of applications and dynamic nature of Grid resources, constant performance by a specific economic model is therefore subjective. This work identifies the potential of different models in different scenarios in the Grid. This identification motivates us to design an optimization framework that couples suitable economic models and is able to switch from one model to another based on the models' domains of strength. The research further describes the roles played by an agent in dynamically deciding which model to be used when and for what purpose. It shows the effectiveness of the switching framework compared to any other individual models in a dynamic computing environment.</w:t>
      </w:r>
    </w:p>
    <w:sectPr w:rsidR="00527CBD" w:rsidSect="00527CB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compat/>
  <w:rsids>
    <w:rsidRoot w:val="006D3A23"/>
    <w:rsid w:val="00527CBD"/>
    <w:rsid w:val="006D3A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701</Characters>
  <Application>Microsoft Office Word</Application>
  <DocSecurity>0</DocSecurity>
  <Lines>5</Lines>
  <Paragraphs>1</Paragraphs>
  <ScaleCrop>false</ScaleCrop>
  <Company/>
  <LinksUpToDate>false</LinksUpToDate>
  <CharactersWithSpaces>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2018-10-03T07:08:00Z</dcterms:created>
  <dcterms:modified xsi:type="dcterms:W3CDTF">2018-10-03T07:08:00Z</dcterms:modified>
</cp:coreProperties>
</file>