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B84" w:rsidRDefault="005D2CD6">
      <w:r w:rsidRPr="005D2CD6">
        <w:t>Twenty-two 3-alkyl-4-hydroxy-1H-pyrrol-2(5H)-ones were prepared and underwent Mn(III)-catalyzed aerobic oxidation in the presence of 1,1-diarylethenes to produce very stable crystalline 6-alkyl-8-aza-4, 4-diaryl-1-hydroxy-2,3-dioxabicyclo[4.3.0]nonan-7-ones in high yields.</w:t>
      </w:r>
    </w:p>
    <w:sectPr w:rsidR="00940B84" w:rsidSect="00940B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/>
  <w:rsids>
    <w:rsidRoot w:val="005D2CD6"/>
    <w:rsid w:val="005D2CD6"/>
    <w:rsid w:val="00940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B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2018-10-03T07:23:00Z</dcterms:created>
  <dcterms:modified xsi:type="dcterms:W3CDTF">2018-10-03T07:23:00Z</dcterms:modified>
</cp:coreProperties>
</file>