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03A" w:rsidRDefault="009507D6">
      <w:r>
        <w:rPr>
          <w:rFonts w:ascii="Arial" w:hAnsi="Arial" w:cs="Arial"/>
          <w:color w:val="666666"/>
          <w:sz w:val="16"/>
          <w:szCs w:val="16"/>
          <w:shd w:val="clear" w:color="auto" w:fill="FFFFFF"/>
        </w:rPr>
        <w:t>A system that aggregates distributed and heterogeneous resources to solve computationally complex applications is known as Grid computing. One of the major challenges that current Grid systems are facing is the low resource utilization, resulting from the lack of suitable tools and mechanisms that understand the language of distributed applications. An effective utilization of resources depends on a better resource provisioning mechanism. The selection of resources in a Grid system involves finding and locating resources based on user requirements. Moreover, the performance of a Grid primarily depends on successful resource provisioning through scheduling and allocating resources according to users requirements. In this paper, we present a sub-domain ontology-based resource provisioning mechanism to increase the utilization of resources. We further extend the model to understand the characteristics of Grid entities in an economic system's point of view. We evaluate the significance of using dynamic pricing over static pricing to deal with the dynamic nature of the Grid. The results show improved success probability and system's profit compared to the traditional resource provisioning mechanisms.</w:t>
      </w:r>
    </w:p>
    <w:sectPr w:rsidR="00D2203A" w:rsidSect="00D220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9507D6"/>
    <w:rsid w:val="009507D6"/>
    <w:rsid w:val="00D220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0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2018-10-03T09:48:00Z</dcterms:created>
  <dcterms:modified xsi:type="dcterms:W3CDTF">2018-10-03T09:48:00Z</dcterms:modified>
</cp:coreProperties>
</file>