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B24" w:rsidRDefault="00C528E6">
      <w:r w:rsidRPr="00C528E6">
        <w:t>In the manuscript, a new metasurface is presented for terahertz applications based on meta‐atom cluster. The metasurface having magnetic and electric resonances shows left‐handed metamaterial characteristics in the terahertz frequency. The meta atom cluster consists of split‐ring resonators based on conducting wire strip (a single loop) printed on RT5880LZ substrate material. The permeability and the permittivity are picked out from the complex scattering parameters. The calculation of the unloaded Q‐factor is executed for the meta‐atom cluster based metasurface in the terahertz frequency. The test of the metasurface has been performed using different dielectric samples loaded. Effective change has been realized in the transmission. This metasurface is novel in case of terahertz band due to left‐handed characteristics. This metasurface is appropriate for high‐performance filters and sensors due to high Q‐factors.</w:t>
      </w:r>
    </w:p>
    <w:sectPr w:rsidR="00D81B24" w:rsidSect="00D81B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C528E6"/>
    <w:rsid w:val="00C528E6"/>
    <w:rsid w:val="00D81B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B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2018-10-04T05:11:00Z</dcterms:created>
  <dcterms:modified xsi:type="dcterms:W3CDTF">2018-10-04T05:12:00Z</dcterms:modified>
</cp:coreProperties>
</file>