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07D8A" w14:textId="0D8CBAE1" w:rsidR="00C046E3" w:rsidRDefault="00C046E3" w:rsidP="00C046E3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  <w:bookmarkStart w:id="0" w:name="_GoBack"/>
      <w:r w:rsidRPr="00C046E3">
        <w:rPr>
          <w:rFonts w:ascii="Arial" w:eastAsia="Times New Roman" w:hAnsi="Arial" w:cs="Arial"/>
          <w:color w:val="505050"/>
          <w:kern w:val="36"/>
          <w:sz w:val="35"/>
          <w:szCs w:val="35"/>
        </w:rPr>
        <w:t>Metabolic and biochemical responses of </w:t>
      </w:r>
      <w:r w:rsidRPr="00C046E3">
        <w:rPr>
          <w:rFonts w:ascii="Arial" w:eastAsia="Times New Roman" w:hAnsi="Arial" w:cs="Arial"/>
          <w:i/>
          <w:iCs/>
          <w:color w:val="505050"/>
          <w:kern w:val="36"/>
          <w:sz w:val="35"/>
          <w:szCs w:val="35"/>
        </w:rPr>
        <w:t>Potamogeton anguillanus</w:t>
      </w:r>
      <w:r w:rsidRPr="00C046E3">
        <w:rPr>
          <w:rFonts w:ascii="Arial" w:eastAsia="Times New Roman" w:hAnsi="Arial" w:cs="Arial"/>
          <w:color w:val="505050"/>
          <w:kern w:val="36"/>
          <w:sz w:val="35"/>
          <w:szCs w:val="35"/>
        </w:rPr>
        <w:t> Koidz. (Potamogetonaceae) to low oxygen conditions</w:t>
      </w:r>
    </w:p>
    <w:p w14:paraId="6AE9EF80" w14:textId="0EED85D3" w:rsidR="00C046E3" w:rsidRDefault="00C046E3" w:rsidP="00C046E3">
      <w:pPr>
        <w:spacing w:after="0" w:line="480" w:lineRule="atLeast"/>
        <w:outlineLvl w:val="0"/>
        <w:rPr>
          <w:rStyle w:val="author-ref"/>
          <w:rFonts w:ascii="Arial" w:hAnsi="Arial" w:cs="Arial"/>
          <w:color w:val="007398"/>
          <w:sz w:val="15"/>
          <w:szCs w:val="15"/>
          <w:vertAlign w:val="superscript"/>
        </w:rPr>
      </w:pPr>
      <w:bookmarkStart w:id="1" w:name="baut0005"/>
      <w:bookmarkEnd w:id="0"/>
      <w:r>
        <w:rPr>
          <w:rStyle w:val="text"/>
          <w:rFonts w:ascii="Arial" w:hAnsi="Arial" w:cs="Arial"/>
          <w:color w:val="007398"/>
          <w:sz w:val="20"/>
          <w:szCs w:val="20"/>
        </w:rPr>
        <w:t>Mahfuza</w:t>
      </w:r>
      <w:r>
        <w:rPr>
          <w:rStyle w:val="text"/>
          <w:rFonts w:ascii="Arial" w:hAnsi="Arial" w:cs="Arial"/>
          <w:color w:val="007398"/>
          <w:sz w:val="20"/>
          <w:szCs w:val="20"/>
        </w:rPr>
        <w:t xml:space="preserve"> </w:t>
      </w:r>
      <w:r>
        <w:rPr>
          <w:rStyle w:val="text"/>
          <w:rFonts w:ascii="Arial" w:hAnsi="Arial" w:cs="Arial"/>
          <w:color w:val="007398"/>
          <w:sz w:val="20"/>
          <w:szCs w:val="20"/>
        </w:rPr>
        <w:t>Parveen</w:t>
      </w:r>
      <w:r>
        <w:rPr>
          <w:rStyle w:val="text"/>
          <w:rFonts w:ascii="Arial" w:hAnsi="Arial" w:cs="Arial"/>
          <w:color w:val="007398"/>
          <w:sz w:val="20"/>
          <w:szCs w:val="20"/>
        </w:rPr>
        <w:t xml:space="preserve"> </w:t>
      </w:r>
      <w:r>
        <w:rPr>
          <w:rStyle w:val="author-ref"/>
          <w:rFonts w:ascii="Arial" w:hAnsi="Arial" w:cs="Arial"/>
          <w:color w:val="007398"/>
          <w:sz w:val="15"/>
          <w:szCs w:val="15"/>
          <w:vertAlign w:val="superscript"/>
        </w:rPr>
        <w:t>ae</w:t>
      </w:r>
      <w:bookmarkStart w:id="2" w:name="baut0010"/>
      <w:bookmarkEnd w:id="1"/>
      <w:r>
        <w:t xml:space="preserve"> </w:t>
      </w:r>
      <w:r w:rsidRPr="00C046E3">
        <w:rPr>
          <w:rStyle w:val="text"/>
          <w:rFonts w:ascii="Arial" w:hAnsi="Arial" w:cs="Arial"/>
          <w:color w:val="2E74B5" w:themeColor="accent5" w:themeShade="BF"/>
          <w:sz w:val="20"/>
          <w:szCs w:val="20"/>
        </w:rPr>
        <w:t>Atsuko</w:t>
      </w:r>
      <w:r w:rsidRPr="00C046E3">
        <w:rPr>
          <w:rStyle w:val="text"/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Pr="00C046E3">
        <w:rPr>
          <w:rStyle w:val="text"/>
          <w:rFonts w:ascii="Arial" w:hAnsi="Arial" w:cs="Arial"/>
          <w:color w:val="2E74B5" w:themeColor="accent5" w:themeShade="BF"/>
          <w:sz w:val="20"/>
          <w:szCs w:val="20"/>
        </w:rPr>
        <w:t>Miyagi</w:t>
      </w:r>
      <w:r w:rsidRPr="00C046E3">
        <w:rPr>
          <w:rStyle w:val="text"/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Pr="00C046E3">
        <w:rPr>
          <w:rStyle w:val="author-ref"/>
          <w:rFonts w:ascii="Arial" w:hAnsi="Arial" w:cs="Arial"/>
          <w:color w:val="2E74B5" w:themeColor="accent5" w:themeShade="BF"/>
          <w:sz w:val="15"/>
          <w:szCs w:val="15"/>
          <w:vertAlign w:val="superscript"/>
        </w:rPr>
        <w:t>b</w:t>
      </w:r>
      <w:bookmarkStart w:id="3" w:name="baut0015"/>
      <w:bookmarkEnd w:id="2"/>
      <w:r w:rsidRPr="00C046E3">
        <w:rPr>
          <w:color w:val="2E74B5" w:themeColor="accent5" w:themeShade="BF"/>
        </w:rPr>
        <w:t xml:space="preserve"> </w:t>
      </w:r>
      <w:r>
        <w:rPr>
          <w:rStyle w:val="text"/>
          <w:rFonts w:ascii="Arial" w:hAnsi="Arial" w:cs="Arial"/>
          <w:color w:val="007398"/>
          <w:sz w:val="20"/>
          <w:szCs w:val="20"/>
        </w:rPr>
        <w:t>MakiKawai-Yamada</w:t>
      </w:r>
      <w:r>
        <w:rPr>
          <w:rStyle w:val="text"/>
          <w:rFonts w:ascii="Arial" w:hAnsi="Arial" w:cs="Arial"/>
          <w:color w:val="007398"/>
          <w:sz w:val="20"/>
          <w:szCs w:val="20"/>
        </w:rPr>
        <w:t xml:space="preserve"> </w:t>
      </w:r>
      <w:r>
        <w:rPr>
          <w:rStyle w:val="author-ref"/>
          <w:rFonts w:ascii="Arial" w:hAnsi="Arial" w:cs="Arial"/>
          <w:color w:val="007398"/>
          <w:sz w:val="15"/>
          <w:szCs w:val="15"/>
          <w:vertAlign w:val="superscript"/>
        </w:rPr>
        <w:t>b</w:t>
      </w:r>
      <w:bookmarkStart w:id="4" w:name="baut0020"/>
      <w:bookmarkEnd w:id="3"/>
      <w:r>
        <w:t xml:space="preserve"> </w:t>
      </w:r>
      <w:r>
        <w:rPr>
          <w:rStyle w:val="text"/>
          <w:rFonts w:ascii="Arial" w:hAnsi="Arial" w:cs="Arial"/>
          <w:color w:val="007398"/>
          <w:sz w:val="20"/>
          <w:szCs w:val="20"/>
        </w:rPr>
        <w:t>Md H.Rashid</w:t>
      </w:r>
      <w:r>
        <w:rPr>
          <w:rStyle w:val="text"/>
          <w:rFonts w:ascii="Arial" w:hAnsi="Arial" w:cs="Arial"/>
          <w:color w:val="007398"/>
          <w:sz w:val="20"/>
          <w:szCs w:val="20"/>
        </w:rPr>
        <w:t xml:space="preserve"> </w:t>
      </w:r>
      <w:r>
        <w:rPr>
          <w:rStyle w:val="author-ref"/>
          <w:rFonts w:ascii="Arial" w:hAnsi="Arial" w:cs="Arial"/>
          <w:color w:val="007398"/>
          <w:sz w:val="15"/>
          <w:szCs w:val="15"/>
          <w:vertAlign w:val="superscript"/>
        </w:rPr>
        <w:t>bd</w:t>
      </w:r>
      <w:bookmarkStart w:id="5" w:name="baut0025"/>
      <w:bookmarkEnd w:id="4"/>
      <w:r>
        <w:t xml:space="preserve"> </w:t>
      </w:r>
      <w:r>
        <w:rPr>
          <w:rStyle w:val="text"/>
          <w:rFonts w:ascii="Arial" w:hAnsi="Arial" w:cs="Arial"/>
          <w:color w:val="007398"/>
          <w:sz w:val="20"/>
          <w:szCs w:val="20"/>
        </w:rPr>
        <w:t>Takashi</w:t>
      </w:r>
      <w:r>
        <w:rPr>
          <w:rStyle w:val="text"/>
          <w:rFonts w:ascii="Arial" w:hAnsi="Arial" w:cs="Arial"/>
          <w:color w:val="007398"/>
          <w:sz w:val="20"/>
          <w:szCs w:val="20"/>
        </w:rPr>
        <w:t xml:space="preserve"> </w:t>
      </w:r>
      <w:r>
        <w:rPr>
          <w:rStyle w:val="text"/>
          <w:rFonts w:ascii="Arial" w:hAnsi="Arial" w:cs="Arial"/>
          <w:color w:val="007398"/>
          <w:sz w:val="20"/>
          <w:szCs w:val="20"/>
        </w:rPr>
        <w:t>Asaeda</w:t>
      </w:r>
      <w:r>
        <w:rPr>
          <w:rStyle w:val="text"/>
          <w:rFonts w:ascii="Arial" w:hAnsi="Arial" w:cs="Arial"/>
          <w:color w:val="007398"/>
          <w:sz w:val="20"/>
          <w:szCs w:val="20"/>
        </w:rPr>
        <w:t xml:space="preserve"> </w:t>
      </w:r>
      <w:r>
        <w:rPr>
          <w:rStyle w:val="author-ref"/>
          <w:rFonts w:ascii="Arial" w:hAnsi="Arial" w:cs="Arial"/>
          <w:color w:val="007398"/>
          <w:sz w:val="15"/>
          <w:szCs w:val="15"/>
          <w:vertAlign w:val="superscript"/>
        </w:rPr>
        <w:t>ac</w:t>
      </w:r>
      <w:bookmarkEnd w:id="5"/>
    </w:p>
    <w:p w14:paraId="33C0BDC2" w14:textId="77777777" w:rsidR="00C046E3" w:rsidRDefault="00C046E3" w:rsidP="00C046E3">
      <w:pPr>
        <w:pStyle w:val="Heading2"/>
        <w:spacing w:before="0" w:after="120" w:line="480" w:lineRule="atLeast"/>
        <w:rPr>
          <w:rFonts w:ascii="Arial" w:hAnsi="Arial" w:cs="Arial"/>
          <w:color w:val="505050"/>
          <w:sz w:val="27"/>
          <w:szCs w:val="27"/>
        </w:rPr>
      </w:pPr>
      <w:r>
        <w:rPr>
          <w:rFonts w:ascii="Arial" w:hAnsi="Arial" w:cs="Arial"/>
          <w:b/>
          <w:bCs/>
          <w:color w:val="505050"/>
          <w:sz w:val="27"/>
          <w:szCs w:val="27"/>
        </w:rPr>
        <w:t>Abstract</w:t>
      </w:r>
    </w:p>
    <w:p w14:paraId="043C91A6" w14:textId="774F8AA2" w:rsidR="00C046E3" w:rsidRDefault="00C046E3" w:rsidP="00C046E3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505050"/>
        </w:rPr>
      </w:pPr>
      <w:r>
        <w:rPr>
          <w:rFonts w:ascii="Arial" w:hAnsi="Arial" w:cs="Arial"/>
          <w:color w:val="505050"/>
        </w:rPr>
        <w:t>Oxygen availability in water is considered one of the most important factors for growth and productivity in aquatic submerged </w:t>
      </w:r>
      <w:r w:rsidRPr="00C046E3">
        <w:rPr>
          <w:rFonts w:ascii="Arial" w:hAnsi="Arial" w:cs="Arial"/>
          <w:color w:val="505050"/>
        </w:rPr>
        <w:t>macrophytes</w:t>
      </w:r>
      <w:r>
        <w:rPr>
          <w:rFonts w:ascii="Arial" w:hAnsi="Arial" w:cs="Arial"/>
          <w:color w:val="505050"/>
        </w:rPr>
        <w:t>. In the present study, the growth, stress responses, and metabolic changes in </w:t>
      </w:r>
      <w:r w:rsidRPr="00C046E3">
        <w:rPr>
          <w:rStyle w:val="Emphasis"/>
          <w:rFonts w:ascii="Arial" w:hAnsi="Arial" w:cs="Arial"/>
          <w:color w:val="505050"/>
        </w:rPr>
        <w:t>Potamogeton</w:t>
      </w:r>
      <w:r>
        <w:rPr>
          <w:rFonts w:ascii="Arial" w:hAnsi="Arial" w:cs="Arial"/>
          <w:color w:val="505050"/>
        </w:rPr>
        <w:t> anguillanus Koidz. (Potamogetonaceae) were assessed after a 21-day exposure to low (hypoxia; </w:t>
      </w:r>
      <w:r w:rsidRPr="00C046E3">
        <w:rPr>
          <w:rFonts w:ascii="Arial" w:hAnsi="Arial" w:cs="Arial"/>
          <w:color w:val="505050"/>
        </w:rPr>
        <w:t>dissolved oxygen</w:t>
      </w:r>
      <w:r>
        <w:rPr>
          <w:rFonts w:ascii="Arial" w:hAnsi="Arial" w:cs="Arial"/>
          <w:color w:val="505050"/>
        </w:rPr>
        <w:t>, DO &lt; 1 mg/L) or null (anoxia) </w:t>
      </w:r>
      <w:r w:rsidRPr="00C046E3">
        <w:rPr>
          <w:rFonts w:ascii="Arial" w:hAnsi="Arial" w:cs="Arial"/>
          <w:color w:val="505050"/>
        </w:rPr>
        <w:t>oxygen concentrations</w:t>
      </w:r>
      <w:r>
        <w:rPr>
          <w:rFonts w:ascii="Arial" w:hAnsi="Arial" w:cs="Arial"/>
          <w:color w:val="505050"/>
        </w:rPr>
        <w:t> in water. High </w:t>
      </w:r>
      <w:r w:rsidRPr="00C046E3">
        <w:rPr>
          <w:rFonts w:ascii="Arial" w:hAnsi="Arial" w:cs="Arial"/>
          <w:color w:val="505050"/>
        </w:rPr>
        <w:t>growth rates</w:t>
      </w:r>
      <w:r>
        <w:rPr>
          <w:rFonts w:ascii="Arial" w:hAnsi="Arial" w:cs="Arial"/>
          <w:color w:val="505050"/>
        </w:rPr>
        <w:t> and an increased </w:t>
      </w:r>
      <w:r w:rsidRPr="00C046E3">
        <w:rPr>
          <w:rFonts w:ascii="Arial" w:hAnsi="Arial" w:cs="Arial"/>
          <w:color w:val="505050"/>
        </w:rPr>
        <w:t>indole</w:t>
      </w:r>
      <w:r>
        <w:rPr>
          <w:rFonts w:ascii="Arial" w:hAnsi="Arial" w:cs="Arial"/>
          <w:color w:val="505050"/>
        </w:rPr>
        <w:t> acetic acid (IAA) content in </w:t>
      </w:r>
      <w:r>
        <w:rPr>
          <w:rStyle w:val="Emphasis"/>
          <w:rFonts w:ascii="Arial" w:eastAsiaTheme="majorEastAsia" w:hAnsi="Arial" w:cs="Arial"/>
          <w:color w:val="505050"/>
        </w:rPr>
        <w:t>P. anguillanus</w:t>
      </w:r>
      <w:r>
        <w:rPr>
          <w:rFonts w:ascii="Arial" w:hAnsi="Arial" w:cs="Arial"/>
          <w:color w:val="505050"/>
        </w:rPr>
        <w:t> were observed under the </w:t>
      </w:r>
      <w:r w:rsidRPr="00C046E3">
        <w:rPr>
          <w:rFonts w:ascii="Arial" w:hAnsi="Arial" w:cs="Arial"/>
          <w:color w:val="505050"/>
        </w:rPr>
        <w:t>hypoxic conditions</w:t>
      </w:r>
      <w:r>
        <w:rPr>
          <w:rFonts w:ascii="Arial" w:hAnsi="Arial" w:cs="Arial"/>
          <w:color w:val="505050"/>
        </w:rPr>
        <w:t> (4-fold to control) compared to the </w:t>
      </w:r>
      <w:r w:rsidRPr="00C046E3">
        <w:rPr>
          <w:rFonts w:ascii="Arial" w:hAnsi="Arial" w:cs="Arial"/>
          <w:color w:val="505050"/>
        </w:rPr>
        <w:t>anoxic conditions</w:t>
      </w:r>
      <w:r>
        <w:rPr>
          <w:rFonts w:ascii="Arial" w:hAnsi="Arial" w:cs="Arial"/>
          <w:color w:val="505050"/>
        </w:rPr>
        <w:t>. In addition, the activation of </w:t>
      </w:r>
      <w:r w:rsidRPr="00C046E3">
        <w:rPr>
          <w:rFonts w:ascii="Arial" w:hAnsi="Arial" w:cs="Arial"/>
          <w:color w:val="505050"/>
        </w:rPr>
        <w:t>glycolysis</w:t>
      </w:r>
      <w:r>
        <w:rPr>
          <w:rFonts w:ascii="Arial" w:hAnsi="Arial" w:cs="Arial"/>
          <w:color w:val="505050"/>
        </w:rPr>
        <w:t> and </w:t>
      </w:r>
      <w:r w:rsidRPr="00C046E3">
        <w:rPr>
          <w:rFonts w:ascii="Arial" w:hAnsi="Arial" w:cs="Arial"/>
          <w:color w:val="505050"/>
        </w:rPr>
        <w:t>fermentation</w:t>
      </w:r>
      <w:r>
        <w:rPr>
          <w:rFonts w:ascii="Arial" w:hAnsi="Arial" w:cs="Arial"/>
          <w:color w:val="505050"/>
        </w:rPr>
        <w:t> processes was further recorded, given the increase in alcohol </w:t>
      </w:r>
      <w:r w:rsidRPr="00C046E3">
        <w:rPr>
          <w:rFonts w:ascii="Arial" w:hAnsi="Arial" w:cs="Arial"/>
          <w:color w:val="505050"/>
        </w:rPr>
        <w:t>dehydrogenase</w:t>
      </w:r>
      <w:r>
        <w:rPr>
          <w:rFonts w:ascii="Arial" w:hAnsi="Arial" w:cs="Arial"/>
          <w:color w:val="505050"/>
        </w:rPr>
        <w:t> activity and </w:t>
      </w:r>
      <w:r w:rsidRPr="00C046E3">
        <w:rPr>
          <w:rFonts w:ascii="Arial" w:hAnsi="Arial" w:cs="Arial"/>
          <w:color w:val="505050"/>
        </w:rPr>
        <w:t>pyruvate</w:t>
      </w:r>
      <w:r>
        <w:rPr>
          <w:rFonts w:ascii="Arial" w:hAnsi="Arial" w:cs="Arial"/>
          <w:color w:val="505050"/>
        </w:rPr>
        <w:t>concentration on the studied plants that were exposed to low oxygen concentrations. Moreover, the positive correlations of antioxidative </w:t>
      </w:r>
      <w:r w:rsidRPr="00C046E3">
        <w:rPr>
          <w:rFonts w:ascii="Arial" w:hAnsi="Arial" w:cs="Arial"/>
          <w:color w:val="505050"/>
        </w:rPr>
        <w:t>enzyme activities</w:t>
      </w:r>
      <w:r>
        <w:rPr>
          <w:rFonts w:ascii="Arial" w:hAnsi="Arial" w:cs="Arial"/>
          <w:color w:val="505050"/>
        </w:rPr>
        <w:t>, </w:t>
      </w:r>
      <w:r w:rsidRPr="00C046E3">
        <w:rPr>
          <w:rFonts w:ascii="Arial" w:hAnsi="Arial" w:cs="Arial"/>
          <w:color w:val="505050"/>
        </w:rPr>
        <w:t>catalase</w:t>
      </w:r>
      <w:r>
        <w:rPr>
          <w:rFonts w:ascii="Arial" w:hAnsi="Arial" w:cs="Arial"/>
          <w:color w:val="505050"/>
        </w:rPr>
        <w:t> (CAT) and </w:t>
      </w:r>
      <w:r w:rsidRPr="00C046E3">
        <w:rPr>
          <w:rFonts w:ascii="Arial" w:hAnsi="Arial" w:cs="Arial"/>
          <w:color w:val="505050"/>
        </w:rPr>
        <w:t>guaiacol peroxidase</w:t>
      </w:r>
      <w:r>
        <w:rPr>
          <w:rFonts w:ascii="Arial" w:hAnsi="Arial" w:cs="Arial"/>
          <w:color w:val="505050"/>
        </w:rPr>
        <w:t> (POD) with </w:t>
      </w:r>
      <w:r w:rsidRPr="00C046E3">
        <w:rPr>
          <w:rFonts w:ascii="Arial" w:hAnsi="Arial" w:cs="Arial"/>
          <w:color w:val="505050"/>
        </w:rPr>
        <w:t>hydrogen peroxide</w:t>
      </w:r>
      <w:r>
        <w:rPr>
          <w:rFonts w:ascii="Arial" w:hAnsi="Arial" w:cs="Arial"/>
          <w:color w:val="505050"/>
        </w:rPr>
        <w:t> (H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O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) confirmed the species ability to scavenge excess H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O</w:t>
      </w:r>
      <w:r>
        <w:rPr>
          <w:rFonts w:ascii="Arial" w:hAnsi="Arial" w:cs="Arial"/>
          <w:color w:val="505050"/>
          <w:sz w:val="18"/>
          <w:szCs w:val="18"/>
          <w:vertAlign w:val="subscript"/>
        </w:rPr>
        <w:t>2</w:t>
      </w:r>
      <w:r>
        <w:rPr>
          <w:rFonts w:ascii="Arial" w:hAnsi="Arial" w:cs="Arial"/>
          <w:color w:val="505050"/>
        </w:rPr>
        <w:t> under low oxygen stress. The capillary electrophoresis–mass spectrometry (CE-MS) analysis of the </w:t>
      </w:r>
      <w:r w:rsidRPr="00C046E3">
        <w:rPr>
          <w:rFonts w:ascii="Arial" w:hAnsi="Arial" w:cs="Arial"/>
          <w:color w:val="505050"/>
        </w:rPr>
        <w:t>metabolome</w:t>
      </w:r>
      <w:r>
        <w:rPr>
          <w:rFonts w:ascii="Arial" w:hAnsi="Arial" w:cs="Arial"/>
          <w:color w:val="505050"/>
        </w:rPr>
        <w:t> identified metabolite accumulations (e.g., </w:t>
      </w:r>
      <w:r w:rsidRPr="00C046E3">
        <w:rPr>
          <w:rFonts w:ascii="Arial" w:hAnsi="Arial" w:cs="Arial"/>
          <w:color w:val="505050"/>
        </w:rPr>
        <w:t>glutamate</w:t>
      </w:r>
      <w:r>
        <w:rPr>
          <w:rFonts w:ascii="Arial" w:hAnsi="Arial" w:cs="Arial"/>
          <w:color w:val="505050"/>
        </w:rPr>
        <w:t>, </w:t>
      </w:r>
      <w:r w:rsidRPr="00C046E3">
        <w:rPr>
          <w:rFonts w:ascii="Arial" w:hAnsi="Arial" w:cs="Arial"/>
          <w:color w:val="505050"/>
        </w:rPr>
        <w:t>glutamine</w:t>
      </w:r>
      <w:r>
        <w:rPr>
          <w:rFonts w:ascii="Arial" w:hAnsi="Arial" w:cs="Arial"/>
          <w:color w:val="505050"/>
        </w:rPr>
        <w:t>, </w:t>
      </w:r>
      <w:r w:rsidRPr="00C046E3">
        <w:rPr>
          <w:rFonts w:ascii="Arial" w:hAnsi="Arial" w:cs="Arial"/>
          <w:color w:val="505050"/>
        </w:rPr>
        <w:t>aspartate</w:t>
      </w:r>
      <w:r>
        <w:rPr>
          <w:rFonts w:ascii="Arial" w:hAnsi="Arial" w:cs="Arial"/>
          <w:color w:val="505050"/>
        </w:rPr>
        <w:t>, </w:t>
      </w:r>
      <w:r w:rsidRPr="00C046E3">
        <w:rPr>
          <w:rFonts w:ascii="Arial" w:hAnsi="Arial" w:cs="Arial"/>
          <w:color w:val="505050"/>
        </w:rPr>
        <w:t>asparagine</w:t>
      </w:r>
      <w:r>
        <w:rPr>
          <w:rFonts w:ascii="Arial" w:hAnsi="Arial" w:cs="Arial"/>
          <w:color w:val="505050"/>
        </w:rPr>
        <w:t>, </w:t>
      </w:r>
      <w:r w:rsidRPr="00C046E3">
        <w:rPr>
          <w:rFonts w:ascii="Arial" w:hAnsi="Arial" w:cs="Arial"/>
          <w:color w:val="505050"/>
        </w:rPr>
        <w:t>valine</w:t>
      </w:r>
      <w:r>
        <w:rPr>
          <w:rFonts w:ascii="Arial" w:hAnsi="Arial" w:cs="Arial"/>
          <w:color w:val="505050"/>
        </w:rPr>
        <w:t>, malate, </w:t>
      </w:r>
      <w:r w:rsidRPr="00C046E3">
        <w:rPr>
          <w:rFonts w:ascii="Arial" w:hAnsi="Arial" w:cs="Arial"/>
          <w:color w:val="505050"/>
        </w:rPr>
        <w:t>lactate</w:t>
      </w:r>
      <w:r>
        <w:rPr>
          <w:rFonts w:ascii="Arial" w:hAnsi="Arial" w:cs="Arial"/>
          <w:color w:val="505050"/>
        </w:rPr>
        <w:t>, </w:t>
      </w:r>
      <w:r w:rsidRPr="00C046E3">
        <w:rPr>
          <w:rFonts w:ascii="Arial" w:hAnsi="Arial" w:cs="Arial"/>
          <w:color w:val="505050"/>
        </w:rPr>
        <w:t>citrate</w:t>
      </w:r>
      <w:r>
        <w:rPr>
          <w:rFonts w:ascii="Arial" w:hAnsi="Arial" w:cs="Arial"/>
          <w:color w:val="505050"/>
        </w:rPr>
        <w:t>, isocitrate, </w:t>
      </w:r>
      <w:r w:rsidRPr="00C046E3">
        <w:rPr>
          <w:rFonts w:ascii="Arial" w:hAnsi="Arial" w:cs="Arial"/>
          <w:color w:val="505050"/>
        </w:rPr>
        <w:t>proline</w:t>
      </w:r>
      <w:r>
        <w:rPr>
          <w:rFonts w:ascii="Arial" w:hAnsi="Arial" w:cs="Arial"/>
          <w:color w:val="505050"/>
        </w:rPr>
        <w:t> and γ-amino butyric acid) in response to the anoxia.</w:t>
      </w:r>
    </w:p>
    <w:p w14:paraId="49339F3B" w14:textId="77777777" w:rsidR="00C046E3" w:rsidRPr="00C046E3" w:rsidRDefault="00C046E3" w:rsidP="00C046E3">
      <w:pPr>
        <w:spacing w:after="0" w:line="480" w:lineRule="atLeast"/>
        <w:outlineLvl w:val="0"/>
        <w:rPr>
          <w:rFonts w:ascii="Arial" w:eastAsia="Times New Roman" w:hAnsi="Arial" w:cs="Arial"/>
          <w:color w:val="505050"/>
          <w:kern w:val="36"/>
          <w:sz w:val="35"/>
          <w:szCs w:val="35"/>
        </w:rPr>
      </w:pPr>
    </w:p>
    <w:p w14:paraId="25449D79" w14:textId="77777777" w:rsidR="007A1515" w:rsidRDefault="00C046E3"/>
    <w:sectPr w:rsidR="007A1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6E3"/>
    <w:rsid w:val="002B6360"/>
    <w:rsid w:val="006501C5"/>
    <w:rsid w:val="009E1CC6"/>
    <w:rsid w:val="00AD5233"/>
    <w:rsid w:val="00C0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0976A"/>
  <w15:chartTrackingRefBased/>
  <w15:docId w15:val="{A82268B3-5812-4FBF-A2D4-FCDA222AE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link w:val="Heading1Char"/>
    <w:uiPriority w:val="9"/>
    <w:qFormat/>
    <w:rsid w:val="00C046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46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46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C046E3"/>
  </w:style>
  <w:style w:type="character" w:styleId="Emphasis">
    <w:name w:val="Emphasis"/>
    <w:basedOn w:val="DefaultParagraphFont"/>
    <w:uiPriority w:val="20"/>
    <w:qFormat/>
    <w:rsid w:val="00C046E3"/>
    <w:rPr>
      <w:i/>
      <w:iCs/>
    </w:rPr>
  </w:style>
  <w:style w:type="character" w:customStyle="1" w:styleId="text">
    <w:name w:val="text"/>
    <w:basedOn w:val="DefaultParagraphFont"/>
    <w:rsid w:val="00C046E3"/>
  </w:style>
  <w:style w:type="character" w:customStyle="1" w:styleId="author-ref">
    <w:name w:val="author-ref"/>
    <w:basedOn w:val="DefaultParagraphFont"/>
    <w:rsid w:val="00C046E3"/>
  </w:style>
  <w:style w:type="character" w:customStyle="1" w:styleId="Heading2Char">
    <w:name w:val="Heading 2 Char"/>
    <w:basedOn w:val="DefaultParagraphFont"/>
    <w:link w:val="Heading2"/>
    <w:uiPriority w:val="9"/>
    <w:semiHidden/>
    <w:rsid w:val="00C046E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NormalWeb">
    <w:name w:val="Normal (Web)"/>
    <w:basedOn w:val="Normal"/>
    <w:uiPriority w:val="99"/>
    <w:semiHidden/>
    <w:unhideWhenUsed/>
    <w:rsid w:val="00C04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C04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9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PC</dc:creator>
  <cp:keywords/>
  <dc:description/>
  <cp:lastModifiedBy>IT PC</cp:lastModifiedBy>
  <cp:revision>1</cp:revision>
  <dcterms:created xsi:type="dcterms:W3CDTF">2019-02-18T05:10:00Z</dcterms:created>
  <dcterms:modified xsi:type="dcterms:W3CDTF">2019-02-18T05:17:00Z</dcterms:modified>
</cp:coreProperties>
</file>