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95A2DF" w14:textId="77777777" w:rsidR="007869E4" w:rsidRPr="006E1511" w:rsidRDefault="007869E4" w:rsidP="007869E4">
      <w:pPr>
        <w:shd w:val="clear" w:color="auto" w:fill="FCFCFC"/>
        <w:spacing w:after="100" w:line="240" w:lineRule="auto"/>
        <w:outlineLvl w:val="0"/>
        <w:rPr>
          <w:rFonts w:ascii="Arial" w:eastAsia="Times New Roman" w:hAnsi="Arial" w:cs="Arial"/>
          <w:color w:val="404040" w:themeColor="text1" w:themeTint="BF"/>
          <w:spacing w:val="2"/>
          <w:kern w:val="36"/>
          <w:sz w:val="48"/>
          <w:szCs w:val="48"/>
        </w:rPr>
      </w:pPr>
      <w:r w:rsidRPr="006E1511">
        <w:rPr>
          <w:rFonts w:ascii="Arial" w:eastAsia="Times New Roman" w:hAnsi="Arial" w:cs="Arial"/>
          <w:color w:val="404040" w:themeColor="text1" w:themeTint="BF"/>
          <w:spacing w:val="2"/>
          <w:kern w:val="36"/>
          <w:sz w:val="48"/>
          <w:szCs w:val="48"/>
        </w:rPr>
        <w:t>Chemical characterization and bioactivity of </w:t>
      </w:r>
      <w:proofErr w:type="spellStart"/>
      <w:r w:rsidRPr="006E1511">
        <w:rPr>
          <w:rFonts w:ascii="Arial" w:eastAsia="Times New Roman" w:hAnsi="Arial" w:cs="Arial"/>
          <w:i/>
          <w:iCs/>
          <w:color w:val="404040" w:themeColor="text1" w:themeTint="BF"/>
          <w:spacing w:val="2"/>
          <w:kern w:val="36"/>
          <w:sz w:val="48"/>
          <w:szCs w:val="48"/>
        </w:rPr>
        <w:t>Trichosanthes</w:t>
      </w:r>
      <w:proofErr w:type="spellEnd"/>
      <w:r w:rsidRPr="006E1511">
        <w:rPr>
          <w:rFonts w:ascii="Arial" w:eastAsia="Times New Roman" w:hAnsi="Arial" w:cs="Arial"/>
          <w:i/>
          <w:iCs/>
          <w:color w:val="404040" w:themeColor="text1" w:themeTint="BF"/>
          <w:spacing w:val="2"/>
          <w:kern w:val="36"/>
          <w:sz w:val="48"/>
          <w:szCs w:val="48"/>
        </w:rPr>
        <w:t xml:space="preserve"> </w:t>
      </w:r>
      <w:proofErr w:type="spellStart"/>
      <w:r w:rsidRPr="006E1511">
        <w:rPr>
          <w:rFonts w:ascii="Arial" w:eastAsia="Times New Roman" w:hAnsi="Arial" w:cs="Arial"/>
          <w:i/>
          <w:iCs/>
          <w:color w:val="404040" w:themeColor="text1" w:themeTint="BF"/>
          <w:spacing w:val="2"/>
          <w:kern w:val="36"/>
          <w:sz w:val="48"/>
          <w:szCs w:val="48"/>
        </w:rPr>
        <w:t>dioica</w:t>
      </w:r>
      <w:proofErr w:type="spellEnd"/>
      <w:r w:rsidRPr="006E1511">
        <w:rPr>
          <w:rFonts w:ascii="Arial" w:eastAsia="Times New Roman" w:hAnsi="Arial" w:cs="Arial"/>
          <w:color w:val="404040" w:themeColor="text1" w:themeTint="BF"/>
          <w:spacing w:val="2"/>
          <w:kern w:val="36"/>
          <w:sz w:val="48"/>
          <w:szCs w:val="48"/>
        </w:rPr>
        <w:t> edible shoot extract</w:t>
      </w:r>
    </w:p>
    <w:p w14:paraId="379642E4" w14:textId="3AEA2666" w:rsidR="007869E4" w:rsidRPr="007C31C3" w:rsidRDefault="007869E4" w:rsidP="007869E4">
      <w:pPr>
        <w:shd w:val="clear" w:color="auto" w:fill="FCFCFC"/>
        <w:spacing w:after="100" w:afterAutospacing="1" w:line="240" w:lineRule="auto"/>
        <w:textAlignment w:val="center"/>
        <w:rPr>
          <w:rFonts w:ascii="Arial" w:eastAsia="Times New Roman" w:hAnsi="Arial" w:cs="Arial"/>
          <w:color w:val="595959" w:themeColor="text1" w:themeTint="A6"/>
        </w:rPr>
      </w:pPr>
      <w:r w:rsidRPr="007C31C3">
        <w:rPr>
          <w:rFonts w:ascii="Arial" w:eastAsia="Times New Roman" w:hAnsi="Arial" w:cs="Arial"/>
          <w:color w:val="595959" w:themeColor="text1" w:themeTint="A6"/>
        </w:rPr>
        <w:t>Md. </w:t>
      </w:r>
      <w:proofErr w:type="spellStart"/>
      <w:r w:rsidRPr="007C31C3">
        <w:rPr>
          <w:rFonts w:ascii="Arial" w:eastAsia="Times New Roman" w:hAnsi="Arial" w:cs="Arial"/>
          <w:color w:val="595959" w:themeColor="text1" w:themeTint="A6"/>
        </w:rPr>
        <w:t>Nazmul</w:t>
      </w:r>
      <w:proofErr w:type="spellEnd"/>
      <w:r w:rsidRPr="007C31C3">
        <w:rPr>
          <w:rFonts w:ascii="Arial" w:eastAsia="Times New Roman" w:hAnsi="Arial" w:cs="Arial"/>
          <w:color w:val="595959" w:themeColor="text1" w:themeTint="A6"/>
        </w:rPr>
        <w:t> </w:t>
      </w:r>
      <w:proofErr w:type="spellStart"/>
      <w:r w:rsidRPr="007C31C3">
        <w:rPr>
          <w:rFonts w:ascii="Arial" w:eastAsia="Times New Roman" w:hAnsi="Arial" w:cs="Arial"/>
          <w:color w:val="595959" w:themeColor="text1" w:themeTint="A6"/>
        </w:rPr>
        <w:t>Hasan</w:t>
      </w:r>
      <w:proofErr w:type="spellEnd"/>
      <w:r w:rsidRPr="007C31C3">
        <w:rPr>
          <w:rFonts w:ascii="Arial" w:eastAsia="Times New Roman" w:hAnsi="Arial" w:cs="Arial"/>
          <w:color w:val="595959" w:themeColor="text1" w:themeTint="A6"/>
        </w:rPr>
        <w:t> </w:t>
      </w:r>
      <w:proofErr w:type="spellStart"/>
      <w:r w:rsidRPr="007C31C3">
        <w:rPr>
          <w:rFonts w:ascii="Arial" w:eastAsia="Times New Roman" w:hAnsi="Arial" w:cs="Arial"/>
          <w:color w:val="595959" w:themeColor="text1" w:themeTint="A6"/>
        </w:rPr>
        <w:t>Zilani</w:t>
      </w:r>
      <w:proofErr w:type="spellEnd"/>
      <w:r w:rsidR="007C31C3" w:rsidRPr="007C31C3">
        <w:rPr>
          <w:rFonts w:ascii="Arial" w:eastAsia="Times New Roman" w:hAnsi="Arial" w:cs="Arial"/>
          <w:noProof/>
          <w:color w:val="595959" w:themeColor="text1" w:themeTint="A6"/>
        </w:rPr>
        <mc:AlternateContent>
          <mc:Choice Requires="wps">
            <w:drawing>
              <wp:inline distT="0" distB="0" distL="0" distR="0" wp14:anchorId="14C1DD2A" wp14:editId="78756208">
                <wp:extent cx="228600" cy="228600"/>
                <wp:effectExtent l="0" t="0" r="0" b="0"/>
                <wp:docPr id="1" name="AutoShape 1" descr="Email author">
                  <a:hlinkClick xmlns:a="http://schemas.openxmlformats.org/drawingml/2006/main" r:id="rId5" tooltip="&quot;mnhzilani09@gmail.co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2BB9D5" id="AutoShape 1" o:spid="_x0000_s1026" alt="Email author" href="mailto:mnhzilani09@gmail.com" title="&quot;mnhzilani09@gmail.com&quot;"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" o:button="t" filled="f" stroked="f">
                <v:fill o:detectmouseclick="t"/>
                <o:lock v:ext="edit" aspectratio="t"/>
                <w10:anchorlock/>
              </v:rect>
            </w:pict>
          </mc:Fallback>
        </mc:AlternateContent>
      </w:r>
      <w:r w:rsidRPr="007C31C3">
        <w:rPr>
          <w:rFonts w:ascii="Arial" w:eastAsia="Times New Roman" w:hAnsi="Arial" w:cs="Arial"/>
          <w:color w:val="595959" w:themeColor="text1" w:themeTint="A6"/>
        </w:rPr>
        <w:t xml:space="preserve">Shaikh Jamal Uddin        </w:t>
      </w:r>
      <w:proofErr w:type="spellStart"/>
      <w:r w:rsidRPr="007C31C3">
        <w:rPr>
          <w:rFonts w:ascii="Arial" w:eastAsia="Times New Roman" w:hAnsi="Arial" w:cs="Arial"/>
          <w:color w:val="595959" w:themeColor="text1" w:themeTint="A6"/>
        </w:rPr>
        <w:t>Hemayet</w:t>
      </w:r>
      <w:proofErr w:type="spellEnd"/>
      <w:r w:rsidRPr="007C31C3">
        <w:rPr>
          <w:rFonts w:ascii="Arial" w:eastAsia="Times New Roman" w:hAnsi="Arial" w:cs="Arial"/>
          <w:color w:val="595959" w:themeColor="text1" w:themeTint="A6"/>
        </w:rPr>
        <w:t xml:space="preserve"> Hossain        </w:t>
      </w:r>
      <w:proofErr w:type="spellStart"/>
      <w:r w:rsidRPr="007C31C3">
        <w:rPr>
          <w:rFonts w:ascii="Arial" w:eastAsia="Times New Roman" w:hAnsi="Arial" w:cs="Arial"/>
          <w:color w:val="595959" w:themeColor="text1" w:themeTint="A6"/>
        </w:rPr>
        <w:t>Hazrina</w:t>
      </w:r>
      <w:proofErr w:type="spellEnd"/>
      <w:r w:rsidRPr="007C31C3">
        <w:rPr>
          <w:rFonts w:ascii="Arial" w:eastAsia="Times New Roman" w:hAnsi="Arial" w:cs="Arial"/>
          <w:color w:val="595959" w:themeColor="text1" w:themeTint="A6"/>
        </w:rPr>
        <w:t> </w:t>
      </w:r>
      <w:proofErr w:type="spellStart"/>
      <w:r w:rsidRPr="007C31C3">
        <w:rPr>
          <w:rFonts w:ascii="Arial" w:eastAsia="Times New Roman" w:hAnsi="Arial" w:cs="Arial"/>
          <w:color w:val="595959" w:themeColor="text1" w:themeTint="A6"/>
        </w:rPr>
        <w:t>Hazni</w:t>
      </w:r>
      <w:proofErr w:type="spellEnd"/>
      <w:r w:rsidRPr="007C31C3">
        <w:rPr>
          <w:rFonts w:ascii="Arial" w:eastAsia="Times New Roman" w:hAnsi="Arial" w:cs="Arial"/>
          <w:color w:val="595959" w:themeColor="text1" w:themeTint="A6"/>
        </w:rPr>
        <w:t xml:space="preserve">        Jamil A. </w:t>
      </w:r>
      <w:proofErr w:type="spellStart"/>
      <w:r w:rsidRPr="007C31C3">
        <w:rPr>
          <w:rFonts w:ascii="Arial" w:eastAsia="Times New Roman" w:hAnsi="Arial" w:cs="Arial"/>
          <w:color w:val="595959" w:themeColor="text1" w:themeTint="A6"/>
        </w:rPr>
        <w:t>Shilpi</w:t>
      </w:r>
      <w:proofErr w:type="spellEnd"/>
      <w:r w:rsidRPr="007C31C3">
        <w:rPr>
          <w:rFonts w:ascii="Arial" w:eastAsia="Times New Roman" w:hAnsi="Arial" w:cs="Arial"/>
          <w:color w:val="595959" w:themeColor="text1" w:themeTint="A6"/>
        </w:rPr>
        <w:t xml:space="preserve">        </w:t>
      </w:r>
      <w:r w:rsidR="003A6157">
        <w:rPr>
          <w:rFonts w:ascii="Arial" w:eastAsia="Times New Roman" w:hAnsi="Arial" w:cs="Arial"/>
          <w:color w:val="595959" w:themeColor="text1" w:themeTint="A6"/>
        </w:rPr>
        <w:t xml:space="preserve">               </w:t>
      </w:r>
      <w:bookmarkStart w:id="0" w:name="_GoBack"/>
      <w:bookmarkEnd w:id="0"/>
      <w:r w:rsidRPr="007C31C3">
        <w:rPr>
          <w:rFonts w:ascii="Arial" w:eastAsia="Times New Roman" w:hAnsi="Arial" w:cs="Arial"/>
          <w:color w:val="595959" w:themeColor="text1" w:themeTint="A6"/>
        </w:rPr>
        <w:t>Md. </w:t>
      </w:r>
      <w:proofErr w:type="spellStart"/>
      <w:r w:rsidRPr="007C31C3">
        <w:rPr>
          <w:rFonts w:ascii="Arial" w:eastAsia="Times New Roman" w:hAnsi="Arial" w:cs="Arial"/>
          <w:color w:val="595959" w:themeColor="text1" w:themeTint="A6"/>
        </w:rPr>
        <w:t>Golam</w:t>
      </w:r>
      <w:proofErr w:type="spellEnd"/>
      <w:r w:rsidRPr="007C31C3">
        <w:rPr>
          <w:rFonts w:ascii="Arial" w:eastAsia="Times New Roman" w:hAnsi="Arial" w:cs="Arial"/>
          <w:color w:val="595959" w:themeColor="text1" w:themeTint="A6"/>
        </w:rPr>
        <w:t> Hossain</w:t>
      </w:r>
    </w:p>
    <w:p w14:paraId="5CD6FD58" w14:textId="77777777" w:rsidR="007C31C3" w:rsidRDefault="007C31C3" w:rsidP="007C31C3">
      <w:pPr>
        <w:pStyle w:val="Heading2"/>
        <w:spacing w:before="0" w:after="120" w:line="480" w:lineRule="atLeast"/>
        <w:rPr>
          <w:rFonts w:ascii="Arial" w:hAnsi="Arial" w:cs="Arial"/>
          <w:color w:val="505050"/>
          <w:sz w:val="27"/>
          <w:szCs w:val="27"/>
        </w:rPr>
      </w:pPr>
      <w:r>
        <w:rPr>
          <w:rFonts w:ascii="Arial" w:hAnsi="Arial" w:cs="Arial"/>
          <w:color w:val="505050"/>
          <w:sz w:val="27"/>
          <w:szCs w:val="27"/>
        </w:rPr>
        <w:t>Abstract</w:t>
      </w:r>
    </w:p>
    <w:p w14:paraId="486CAD72" w14:textId="77777777" w:rsidR="007869E4" w:rsidRPr="006E1511" w:rsidRDefault="007869E4" w:rsidP="007869E4">
      <w:pPr>
        <w:pStyle w:val="para"/>
        <w:shd w:val="clear" w:color="auto" w:fill="FCFCFC"/>
        <w:spacing w:before="240" w:beforeAutospacing="0" w:after="288" w:afterAutospacing="0"/>
        <w:jc w:val="both"/>
        <w:rPr>
          <w:rFonts w:ascii="Arial" w:hAnsi="Arial" w:cs="Arial"/>
          <w:color w:val="404040" w:themeColor="text1" w:themeTint="BF"/>
          <w:spacing w:val="1"/>
        </w:rPr>
      </w:pPr>
      <w:r w:rsidRPr="006E1511">
        <w:rPr>
          <w:rFonts w:ascii="Arial" w:hAnsi="Arial" w:cs="Arial"/>
          <w:color w:val="404040" w:themeColor="text1" w:themeTint="BF"/>
          <w:spacing w:val="1"/>
        </w:rPr>
        <w:t>Present investigation was aimed to evaluate the traditional use of edible part of soft shoots of </w:t>
      </w:r>
      <w:proofErr w:type="spellStart"/>
      <w:r w:rsidRPr="006E1511">
        <w:rPr>
          <w:rStyle w:val="Emphasis"/>
          <w:rFonts w:ascii="Arial" w:hAnsi="Arial" w:cs="Arial"/>
          <w:color w:val="404040" w:themeColor="text1" w:themeTint="BF"/>
          <w:spacing w:val="1"/>
        </w:rPr>
        <w:t>Trichosanthes</w:t>
      </w:r>
      <w:proofErr w:type="spellEnd"/>
      <w:r w:rsidRPr="006E1511">
        <w:rPr>
          <w:rStyle w:val="Emphasis"/>
          <w:rFonts w:ascii="Arial" w:hAnsi="Arial" w:cs="Arial"/>
          <w:color w:val="404040" w:themeColor="text1" w:themeTint="BF"/>
          <w:spacing w:val="1"/>
        </w:rPr>
        <w:t xml:space="preserve"> </w:t>
      </w:r>
      <w:proofErr w:type="spellStart"/>
      <w:r w:rsidRPr="006E1511">
        <w:rPr>
          <w:rStyle w:val="Emphasis"/>
          <w:rFonts w:ascii="Arial" w:hAnsi="Arial" w:cs="Arial"/>
          <w:color w:val="404040" w:themeColor="text1" w:themeTint="BF"/>
          <w:spacing w:val="1"/>
        </w:rPr>
        <w:t>dioica</w:t>
      </w:r>
      <w:proofErr w:type="spellEnd"/>
      <w:r w:rsidRPr="006E1511">
        <w:rPr>
          <w:rFonts w:ascii="Arial" w:hAnsi="Arial" w:cs="Arial"/>
          <w:color w:val="404040" w:themeColor="text1" w:themeTint="BF"/>
          <w:spacing w:val="1"/>
        </w:rPr>
        <w:t> </w:t>
      </w:r>
      <w:proofErr w:type="spellStart"/>
      <w:r w:rsidRPr="006E1511">
        <w:rPr>
          <w:rFonts w:ascii="Arial" w:hAnsi="Arial" w:cs="Arial"/>
          <w:color w:val="404040" w:themeColor="text1" w:themeTint="BF"/>
          <w:spacing w:val="1"/>
        </w:rPr>
        <w:t>Roxb</w:t>
      </w:r>
      <w:proofErr w:type="spellEnd"/>
      <w:r w:rsidRPr="006E1511">
        <w:rPr>
          <w:rFonts w:ascii="Arial" w:hAnsi="Arial" w:cs="Arial"/>
          <w:color w:val="404040" w:themeColor="text1" w:themeTint="BF"/>
          <w:spacing w:val="1"/>
        </w:rPr>
        <w:t>. (</w:t>
      </w:r>
      <w:proofErr w:type="spellStart"/>
      <w:r w:rsidRPr="006E1511">
        <w:rPr>
          <w:rFonts w:ascii="Arial" w:hAnsi="Arial" w:cs="Arial"/>
          <w:color w:val="404040" w:themeColor="text1" w:themeTint="BF"/>
          <w:spacing w:val="1"/>
        </w:rPr>
        <w:t>Cucurbitaceae</w:t>
      </w:r>
      <w:proofErr w:type="spellEnd"/>
      <w:r w:rsidRPr="006E1511">
        <w:rPr>
          <w:rFonts w:ascii="Arial" w:hAnsi="Arial" w:cs="Arial"/>
          <w:color w:val="404040" w:themeColor="text1" w:themeTint="BF"/>
          <w:spacing w:val="1"/>
        </w:rPr>
        <w:t xml:space="preserve">) as an </w:t>
      </w:r>
      <w:proofErr w:type="spellStart"/>
      <w:r w:rsidRPr="006E1511">
        <w:rPr>
          <w:rFonts w:ascii="Arial" w:hAnsi="Arial" w:cs="Arial"/>
          <w:color w:val="404040" w:themeColor="text1" w:themeTint="BF"/>
          <w:spacing w:val="1"/>
        </w:rPr>
        <w:t>antidiabetic</w:t>
      </w:r>
      <w:proofErr w:type="spellEnd"/>
      <w:r w:rsidRPr="006E1511">
        <w:rPr>
          <w:rFonts w:ascii="Arial" w:hAnsi="Arial" w:cs="Arial"/>
          <w:color w:val="404040" w:themeColor="text1" w:themeTint="BF"/>
          <w:spacing w:val="1"/>
        </w:rPr>
        <w:t xml:space="preserve"> in mice model. In addition, antioxidant activity and chemical profiling of this plant part were also performed to support its observed activity. The extract was subjected to oral glucose tolerance test in normal and </w:t>
      </w:r>
      <w:proofErr w:type="spellStart"/>
      <w:r w:rsidRPr="006E1511">
        <w:rPr>
          <w:rFonts w:ascii="Arial" w:hAnsi="Arial" w:cs="Arial"/>
          <w:color w:val="404040" w:themeColor="text1" w:themeTint="BF"/>
          <w:spacing w:val="1"/>
        </w:rPr>
        <w:t>alloxan</w:t>
      </w:r>
      <w:proofErr w:type="spellEnd"/>
      <w:r w:rsidRPr="006E1511">
        <w:rPr>
          <w:rFonts w:ascii="Arial" w:hAnsi="Arial" w:cs="Arial"/>
          <w:color w:val="404040" w:themeColor="text1" w:themeTint="BF"/>
          <w:spacing w:val="1"/>
        </w:rPr>
        <w:t xml:space="preserve"> induced diabetic mice to explore its </w:t>
      </w:r>
      <w:proofErr w:type="spellStart"/>
      <w:r w:rsidRPr="006E1511">
        <w:rPr>
          <w:rFonts w:ascii="Arial" w:hAnsi="Arial" w:cs="Arial"/>
          <w:color w:val="404040" w:themeColor="text1" w:themeTint="BF"/>
          <w:spacing w:val="1"/>
        </w:rPr>
        <w:t>antihyperglycemic</w:t>
      </w:r>
      <w:proofErr w:type="spellEnd"/>
      <w:r w:rsidRPr="006E1511">
        <w:rPr>
          <w:rFonts w:ascii="Arial" w:hAnsi="Arial" w:cs="Arial"/>
          <w:color w:val="404040" w:themeColor="text1" w:themeTint="BF"/>
          <w:spacing w:val="1"/>
        </w:rPr>
        <w:t xml:space="preserve"> activity. Antioxidant capacity was analyzed by a number of in vitro assays. Quantification of bioactive polyphenols was done by HPLC. Liquid Chromatography coupled with Mass Spectrometry (LCMS) was used to identify chemical constituents present in the extract. Total polyphenol and flavonoids content were found in significant quantity. In DPPH radical scavenging assay the IC</w:t>
      </w:r>
      <w:r w:rsidRPr="006E1511">
        <w:rPr>
          <w:rFonts w:ascii="Arial" w:hAnsi="Arial" w:cs="Arial"/>
          <w:color w:val="404040" w:themeColor="text1" w:themeTint="BF"/>
          <w:spacing w:val="1"/>
          <w:vertAlign w:val="subscript"/>
        </w:rPr>
        <w:t>50</w:t>
      </w:r>
      <w:r w:rsidRPr="006E1511">
        <w:rPr>
          <w:rFonts w:ascii="Arial" w:hAnsi="Arial" w:cs="Arial"/>
          <w:color w:val="404040" w:themeColor="text1" w:themeTint="BF"/>
          <w:spacing w:val="1"/>
        </w:rPr>
        <w:t> value of the extract was found to be 148.62 µg/</w:t>
      </w:r>
      <w:proofErr w:type="spellStart"/>
      <w:r w:rsidRPr="006E1511">
        <w:rPr>
          <w:rFonts w:ascii="Arial" w:hAnsi="Arial" w:cs="Arial"/>
          <w:color w:val="404040" w:themeColor="text1" w:themeTint="BF"/>
          <w:spacing w:val="1"/>
        </w:rPr>
        <w:t>mL.</w:t>
      </w:r>
      <w:proofErr w:type="spellEnd"/>
      <w:r w:rsidRPr="006E1511">
        <w:rPr>
          <w:rFonts w:ascii="Arial" w:hAnsi="Arial" w:cs="Arial"/>
          <w:color w:val="404040" w:themeColor="text1" w:themeTint="BF"/>
          <w:spacing w:val="1"/>
        </w:rPr>
        <w:t xml:space="preserve"> Reducing power of the extract was comparable with that of </w:t>
      </w:r>
      <w:proofErr w:type="spellStart"/>
      <w:r w:rsidRPr="006E1511">
        <w:rPr>
          <w:rFonts w:ascii="Arial" w:hAnsi="Arial" w:cs="Arial"/>
          <w:color w:val="404040" w:themeColor="text1" w:themeTint="BF"/>
          <w:spacing w:val="1"/>
        </w:rPr>
        <w:t>butylatedhydroxytoluene</w:t>
      </w:r>
      <w:proofErr w:type="spellEnd"/>
      <w:r w:rsidRPr="006E1511">
        <w:rPr>
          <w:rFonts w:ascii="Arial" w:hAnsi="Arial" w:cs="Arial"/>
          <w:color w:val="404040" w:themeColor="text1" w:themeTint="BF"/>
          <w:spacing w:val="1"/>
        </w:rPr>
        <w:t xml:space="preserve"> (BHT). HPLC analysis indicated that </w:t>
      </w:r>
      <w:proofErr w:type="spellStart"/>
      <w:r w:rsidRPr="006E1511">
        <w:rPr>
          <w:rFonts w:ascii="Arial" w:hAnsi="Arial" w:cs="Arial"/>
          <w:color w:val="404040" w:themeColor="text1" w:themeTint="BF"/>
          <w:spacing w:val="1"/>
        </w:rPr>
        <w:t>quercetin</w:t>
      </w:r>
      <w:proofErr w:type="spellEnd"/>
      <w:r w:rsidRPr="006E1511">
        <w:rPr>
          <w:rFonts w:ascii="Arial" w:hAnsi="Arial" w:cs="Arial"/>
          <w:color w:val="404040" w:themeColor="text1" w:themeTint="BF"/>
          <w:spacing w:val="1"/>
        </w:rPr>
        <w:t xml:space="preserve">, </w:t>
      </w:r>
      <w:proofErr w:type="spellStart"/>
      <w:r w:rsidRPr="006E1511">
        <w:rPr>
          <w:rFonts w:ascii="Arial" w:hAnsi="Arial" w:cs="Arial"/>
          <w:color w:val="404040" w:themeColor="text1" w:themeTint="BF"/>
          <w:spacing w:val="1"/>
        </w:rPr>
        <w:t>rutin</w:t>
      </w:r>
      <w:proofErr w:type="spellEnd"/>
      <w:r w:rsidRPr="006E1511">
        <w:rPr>
          <w:rFonts w:ascii="Arial" w:hAnsi="Arial" w:cs="Arial"/>
          <w:color w:val="404040" w:themeColor="text1" w:themeTint="BF"/>
          <w:spacing w:val="1"/>
        </w:rPr>
        <w:t>, </w:t>
      </w:r>
      <w:r w:rsidRPr="006E1511">
        <w:rPr>
          <w:rStyle w:val="Emphasis"/>
          <w:rFonts w:ascii="Arial" w:hAnsi="Arial" w:cs="Arial"/>
          <w:color w:val="404040" w:themeColor="text1" w:themeTint="BF"/>
          <w:spacing w:val="1"/>
        </w:rPr>
        <w:t>p</w:t>
      </w:r>
      <w:r w:rsidRPr="006E1511">
        <w:rPr>
          <w:rFonts w:ascii="Arial" w:hAnsi="Arial" w:cs="Arial"/>
          <w:color w:val="404040" w:themeColor="text1" w:themeTint="BF"/>
          <w:spacing w:val="1"/>
        </w:rPr>
        <w:t>-</w:t>
      </w:r>
      <w:proofErr w:type="spellStart"/>
      <w:r w:rsidRPr="006E1511">
        <w:rPr>
          <w:rFonts w:ascii="Arial" w:hAnsi="Arial" w:cs="Arial"/>
          <w:color w:val="404040" w:themeColor="text1" w:themeTint="BF"/>
          <w:spacing w:val="1"/>
        </w:rPr>
        <w:t>coumaric</w:t>
      </w:r>
      <w:proofErr w:type="spellEnd"/>
      <w:r w:rsidRPr="006E1511">
        <w:rPr>
          <w:rFonts w:ascii="Arial" w:hAnsi="Arial" w:cs="Arial"/>
          <w:color w:val="404040" w:themeColor="text1" w:themeTint="BF"/>
          <w:spacing w:val="1"/>
        </w:rPr>
        <w:t xml:space="preserve"> acid and </w:t>
      </w:r>
      <w:proofErr w:type="spellStart"/>
      <w:r w:rsidRPr="006E1511">
        <w:rPr>
          <w:rFonts w:ascii="Arial" w:hAnsi="Arial" w:cs="Arial"/>
          <w:color w:val="404040" w:themeColor="text1" w:themeTint="BF"/>
          <w:spacing w:val="1"/>
        </w:rPr>
        <w:t>kaempferol</w:t>
      </w:r>
      <w:proofErr w:type="spellEnd"/>
      <w:r w:rsidRPr="006E1511">
        <w:rPr>
          <w:rFonts w:ascii="Arial" w:hAnsi="Arial" w:cs="Arial"/>
          <w:color w:val="404040" w:themeColor="text1" w:themeTint="BF"/>
          <w:spacing w:val="1"/>
        </w:rPr>
        <w:t xml:space="preserve"> were the major bioactive polyphenols present in the extract. Further chemical profiling using LCMS analysis was identified a total of nine compounds with different chemical classes. In OGTT, extract (400 mg/kg BW) showed a 31.13% decrease (</w:t>
      </w:r>
      <w:r w:rsidRPr="006E1511">
        <w:rPr>
          <w:rStyle w:val="Emphasis"/>
          <w:rFonts w:ascii="Arial" w:hAnsi="Arial" w:cs="Arial"/>
          <w:color w:val="404040" w:themeColor="text1" w:themeTint="BF"/>
          <w:spacing w:val="1"/>
        </w:rPr>
        <w:t>p </w:t>
      </w:r>
      <w:r w:rsidRPr="006E1511">
        <w:rPr>
          <w:rFonts w:ascii="Arial" w:hAnsi="Arial" w:cs="Arial"/>
          <w:color w:val="404040" w:themeColor="text1" w:themeTint="BF"/>
          <w:spacing w:val="1"/>
        </w:rPr>
        <w:t xml:space="preserve">&lt; 0.05) in blood glucose levels at 30 min compared to the normal control. In </w:t>
      </w:r>
      <w:proofErr w:type="spellStart"/>
      <w:r w:rsidRPr="006E1511">
        <w:rPr>
          <w:rFonts w:ascii="Arial" w:hAnsi="Arial" w:cs="Arial"/>
          <w:color w:val="404040" w:themeColor="text1" w:themeTint="BF"/>
          <w:spacing w:val="1"/>
        </w:rPr>
        <w:t>alloxan</w:t>
      </w:r>
      <w:proofErr w:type="spellEnd"/>
      <w:r w:rsidRPr="006E1511">
        <w:rPr>
          <w:rFonts w:ascii="Arial" w:hAnsi="Arial" w:cs="Arial"/>
          <w:color w:val="404040" w:themeColor="text1" w:themeTint="BF"/>
          <w:spacing w:val="1"/>
        </w:rPr>
        <w:t xml:space="preserve"> induced diabetic mice the extract at the doses of 200 mg and 400 mg/kg, showed significant decrease (</w:t>
      </w:r>
      <w:r w:rsidRPr="006E1511">
        <w:rPr>
          <w:rStyle w:val="Emphasis"/>
          <w:rFonts w:ascii="Arial" w:hAnsi="Arial" w:cs="Arial"/>
          <w:color w:val="404040" w:themeColor="text1" w:themeTint="BF"/>
          <w:spacing w:val="1"/>
        </w:rPr>
        <w:t>p</w:t>
      </w:r>
      <w:r w:rsidRPr="006E1511">
        <w:rPr>
          <w:rFonts w:ascii="Arial" w:hAnsi="Arial" w:cs="Arial"/>
          <w:color w:val="404040" w:themeColor="text1" w:themeTint="BF"/>
          <w:spacing w:val="1"/>
        </w:rPr>
        <w:t xml:space="preserve"> &lt; 0.05) of blood glucose level compared to diabetic control. The extract showed oral glucose tolerance potential and antioxidant capacity which might be due to the presence of different compounds such as </w:t>
      </w:r>
      <w:proofErr w:type="spellStart"/>
      <w:r w:rsidRPr="006E1511">
        <w:rPr>
          <w:rFonts w:ascii="Arial" w:hAnsi="Arial" w:cs="Arial"/>
          <w:color w:val="404040" w:themeColor="text1" w:themeTint="BF"/>
          <w:spacing w:val="1"/>
        </w:rPr>
        <w:t>quercetin</w:t>
      </w:r>
      <w:proofErr w:type="spellEnd"/>
      <w:r w:rsidRPr="006E1511">
        <w:rPr>
          <w:rFonts w:ascii="Arial" w:hAnsi="Arial" w:cs="Arial"/>
          <w:color w:val="404040" w:themeColor="text1" w:themeTint="BF"/>
          <w:spacing w:val="1"/>
        </w:rPr>
        <w:t xml:space="preserve">, </w:t>
      </w:r>
      <w:proofErr w:type="spellStart"/>
      <w:r w:rsidRPr="006E1511">
        <w:rPr>
          <w:rFonts w:ascii="Arial" w:hAnsi="Arial" w:cs="Arial"/>
          <w:color w:val="404040" w:themeColor="text1" w:themeTint="BF"/>
          <w:spacing w:val="1"/>
        </w:rPr>
        <w:t>rutin</w:t>
      </w:r>
      <w:proofErr w:type="spellEnd"/>
      <w:r w:rsidRPr="006E1511">
        <w:rPr>
          <w:rFonts w:ascii="Arial" w:hAnsi="Arial" w:cs="Arial"/>
          <w:color w:val="404040" w:themeColor="text1" w:themeTint="BF"/>
          <w:spacing w:val="1"/>
        </w:rPr>
        <w:t xml:space="preserve">, </w:t>
      </w:r>
      <w:proofErr w:type="spellStart"/>
      <w:r w:rsidRPr="006E1511">
        <w:rPr>
          <w:rFonts w:ascii="Arial" w:hAnsi="Arial" w:cs="Arial"/>
          <w:color w:val="404040" w:themeColor="text1" w:themeTint="BF"/>
          <w:spacing w:val="1"/>
        </w:rPr>
        <w:t>kaempferol</w:t>
      </w:r>
      <w:proofErr w:type="spellEnd"/>
      <w:r w:rsidRPr="006E1511">
        <w:rPr>
          <w:rFonts w:ascii="Arial" w:hAnsi="Arial" w:cs="Arial"/>
          <w:color w:val="404040" w:themeColor="text1" w:themeTint="BF"/>
          <w:spacing w:val="1"/>
        </w:rPr>
        <w:t xml:space="preserve">, </w:t>
      </w:r>
      <w:proofErr w:type="spellStart"/>
      <w:r w:rsidRPr="006E1511">
        <w:rPr>
          <w:rFonts w:ascii="Arial" w:hAnsi="Arial" w:cs="Arial"/>
          <w:color w:val="404040" w:themeColor="text1" w:themeTint="BF"/>
          <w:spacing w:val="1"/>
        </w:rPr>
        <w:t>oleanolic</w:t>
      </w:r>
      <w:proofErr w:type="spellEnd"/>
      <w:r w:rsidRPr="006E1511">
        <w:rPr>
          <w:rFonts w:ascii="Arial" w:hAnsi="Arial" w:cs="Arial"/>
          <w:color w:val="404040" w:themeColor="text1" w:themeTint="BF"/>
          <w:spacing w:val="1"/>
        </w:rPr>
        <w:t xml:space="preserve"> acid, </w:t>
      </w:r>
      <w:proofErr w:type="gramStart"/>
      <w:r w:rsidRPr="006E1511">
        <w:rPr>
          <w:rFonts w:ascii="Arial" w:hAnsi="Arial" w:cs="Arial"/>
          <w:color w:val="404040" w:themeColor="text1" w:themeTint="BF"/>
          <w:spacing w:val="1"/>
        </w:rPr>
        <w:t>β</w:t>
      </w:r>
      <w:proofErr w:type="gramEnd"/>
      <w:r w:rsidRPr="006E1511">
        <w:rPr>
          <w:rFonts w:ascii="Arial" w:hAnsi="Arial" w:cs="Arial"/>
          <w:color w:val="404040" w:themeColor="text1" w:themeTint="BF"/>
          <w:spacing w:val="1"/>
        </w:rPr>
        <w:t>-</w:t>
      </w:r>
      <w:proofErr w:type="spellStart"/>
      <w:r w:rsidRPr="006E1511">
        <w:rPr>
          <w:rFonts w:ascii="Arial" w:hAnsi="Arial" w:cs="Arial"/>
          <w:color w:val="404040" w:themeColor="text1" w:themeTint="BF"/>
          <w:spacing w:val="1"/>
        </w:rPr>
        <w:t>sitosterol</w:t>
      </w:r>
      <w:proofErr w:type="spellEnd"/>
      <w:r w:rsidRPr="006E1511">
        <w:rPr>
          <w:rFonts w:ascii="Arial" w:hAnsi="Arial" w:cs="Arial"/>
          <w:color w:val="404040" w:themeColor="text1" w:themeTint="BF"/>
          <w:spacing w:val="1"/>
        </w:rPr>
        <w:t xml:space="preserve">. The results support the scientific basis of it </w:t>
      </w:r>
      <w:proofErr w:type="spellStart"/>
      <w:r w:rsidRPr="006E1511">
        <w:rPr>
          <w:rFonts w:ascii="Arial" w:hAnsi="Arial" w:cs="Arial"/>
          <w:color w:val="404040" w:themeColor="text1" w:themeTint="BF"/>
          <w:spacing w:val="1"/>
        </w:rPr>
        <w:t>ethnobotanical</w:t>
      </w:r>
      <w:proofErr w:type="spellEnd"/>
      <w:r w:rsidRPr="006E1511">
        <w:rPr>
          <w:rFonts w:ascii="Arial" w:hAnsi="Arial" w:cs="Arial"/>
          <w:color w:val="404040" w:themeColor="text1" w:themeTint="BF"/>
          <w:spacing w:val="1"/>
        </w:rPr>
        <w:t xml:space="preserve"> uses in traditional medicinal practices of Bangladesh.</w:t>
      </w:r>
    </w:p>
    <w:p w14:paraId="0C46D764" w14:textId="77777777" w:rsidR="003803AF" w:rsidRDefault="003803AF"/>
    <w:sectPr w:rsidR="003803AF"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4B6879"/>
    <w:multiLevelType w:val="multilevel"/>
    <w:tmpl w:val="5048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9E4"/>
    <w:rsid w:val="003803AF"/>
    <w:rsid w:val="003A6157"/>
    <w:rsid w:val="006E1511"/>
    <w:rsid w:val="007869E4"/>
    <w:rsid w:val="007C31C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35D5"/>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7869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869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9E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7869E4"/>
    <w:rPr>
      <w:i/>
      <w:iCs/>
    </w:rPr>
  </w:style>
  <w:style w:type="character" w:customStyle="1" w:styleId="authorsname">
    <w:name w:val="authors__name"/>
    <w:basedOn w:val="DefaultParagraphFont"/>
    <w:rsid w:val="007869E4"/>
  </w:style>
  <w:style w:type="character" w:customStyle="1" w:styleId="authorscontact">
    <w:name w:val="authors__contact"/>
    <w:basedOn w:val="DefaultParagraphFont"/>
    <w:rsid w:val="007869E4"/>
  </w:style>
  <w:style w:type="character" w:customStyle="1" w:styleId="Heading2Char">
    <w:name w:val="Heading 2 Char"/>
    <w:basedOn w:val="DefaultParagraphFont"/>
    <w:link w:val="Heading2"/>
    <w:uiPriority w:val="9"/>
    <w:semiHidden/>
    <w:rsid w:val="007869E4"/>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7869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897996">
      <w:bodyDiv w:val="1"/>
      <w:marLeft w:val="0"/>
      <w:marRight w:val="0"/>
      <w:marTop w:val="0"/>
      <w:marBottom w:val="0"/>
      <w:divBdr>
        <w:top w:val="none" w:sz="0" w:space="0" w:color="auto"/>
        <w:left w:val="none" w:sz="0" w:space="0" w:color="auto"/>
        <w:bottom w:val="none" w:sz="0" w:space="0" w:color="auto"/>
        <w:right w:val="none" w:sz="0" w:space="0" w:color="auto"/>
      </w:divBdr>
    </w:div>
    <w:div w:id="752817541">
      <w:bodyDiv w:val="1"/>
      <w:marLeft w:val="0"/>
      <w:marRight w:val="0"/>
      <w:marTop w:val="0"/>
      <w:marBottom w:val="0"/>
      <w:divBdr>
        <w:top w:val="none" w:sz="0" w:space="0" w:color="auto"/>
        <w:left w:val="none" w:sz="0" w:space="0" w:color="auto"/>
        <w:bottom w:val="none" w:sz="0" w:space="0" w:color="auto"/>
        <w:right w:val="none" w:sz="0" w:space="0" w:color="auto"/>
      </w:divBdr>
    </w:div>
    <w:div w:id="188579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nhzilani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4</cp:revision>
  <dcterms:created xsi:type="dcterms:W3CDTF">2019-02-27T05:54:00Z</dcterms:created>
  <dcterms:modified xsi:type="dcterms:W3CDTF">2019-05-14T09:24:00Z</dcterms:modified>
</cp:coreProperties>
</file>